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E94CAC">
      <w:pPr>
        <w:widowControl w:val="0"/>
        <w:kinsoku/>
        <w:autoSpaceDE/>
        <w:autoSpaceDN/>
        <w:adjustRightInd/>
        <w:snapToGrid/>
        <w:spacing w:line="240" w:lineRule="auto"/>
        <w:jc w:val="center"/>
        <w:textAlignment w:val="auto"/>
        <w:rPr>
          <w:rFonts w:hint="eastAsia" w:ascii="方正小标宋简体" w:hAnsi="方正小标宋简体" w:eastAsia="方正小标宋简体" w:cs="方正小标宋简体"/>
          <w:snapToGrid/>
          <w:kern w:val="2"/>
          <w:sz w:val="44"/>
          <w:szCs w:val="44"/>
          <w:lang w:val="en-US" w:eastAsia="zh-CN"/>
        </w:rPr>
      </w:pPr>
      <w:bookmarkStart w:id="0" w:name="_GoBack"/>
      <w:bookmarkEnd w:id="0"/>
      <w:r>
        <w:rPr>
          <w:rFonts w:hint="eastAsia" w:ascii="方正小标宋简体" w:hAnsi="方正小标宋简体" w:eastAsia="方正小标宋简体" w:cs="方正小标宋简体"/>
          <w:snapToGrid/>
          <w:kern w:val="2"/>
          <w:sz w:val="44"/>
          <w:szCs w:val="44"/>
          <w:lang w:val="en-US" w:eastAsia="zh-CN"/>
        </w:rPr>
        <w:t>历下区涉企行政检查“无事不扰”事项库（2026版）</w:t>
      </w:r>
    </w:p>
    <w:p w14:paraId="58634D9A">
      <w:pPr>
        <w:jc w:val="center"/>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（共</w:t>
      </w:r>
      <w:r>
        <w:rPr>
          <w:rFonts w:hint="eastAsia" w:ascii="楷体_GB2312" w:hAnsi="楷体_GB2312" w:eastAsia="楷体_GB2312" w:cs="楷体_GB2312"/>
          <w:sz w:val="32"/>
          <w:szCs w:val="32"/>
          <w:lang w:val="en-US" w:eastAsia="zh-CN"/>
        </w:rPr>
        <w:t>13家单位，62个事项</w:t>
      </w:r>
      <w:r>
        <w:rPr>
          <w:rFonts w:hint="eastAsia" w:ascii="楷体_GB2312" w:hAnsi="楷体_GB2312" w:eastAsia="楷体_GB2312" w:cs="楷体_GB2312"/>
          <w:sz w:val="32"/>
          <w:szCs w:val="32"/>
          <w:lang w:eastAsia="zh-CN"/>
        </w:rPr>
        <w:t>）</w:t>
      </w:r>
    </w:p>
    <w:tbl>
      <w:tblPr>
        <w:tblStyle w:val="4"/>
        <w:tblW w:w="14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790"/>
        <w:gridCol w:w="1670"/>
        <w:gridCol w:w="3210"/>
        <w:gridCol w:w="1800"/>
        <w:gridCol w:w="4786"/>
        <w:gridCol w:w="1383"/>
        <w:gridCol w:w="869"/>
      </w:tblGrid>
      <w:tr w14:paraId="66999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586" w:hRule="atLeast"/>
        </w:trPr>
        <w:tc>
          <w:tcPr>
            <w:tcW w:w="790" w:type="dxa"/>
            <w:noWrap w:val="0"/>
            <w:vAlign w:val="center"/>
          </w:tcPr>
          <w:p w14:paraId="0DFEC005">
            <w:pPr>
              <w:widowControl w:val="0"/>
              <w:kinsoku/>
              <w:autoSpaceDE/>
              <w:autoSpaceDN/>
              <w:adjustRightInd/>
              <w:snapToGrid/>
              <w:spacing w:line="240" w:lineRule="auto"/>
              <w:jc w:val="center"/>
              <w:textAlignment w:val="auto"/>
              <w:rPr>
                <w:rFonts w:hint="eastAsia" w:ascii="黑体" w:hAnsi="黑体" w:eastAsia="黑体" w:cs="黑体"/>
                <w:snapToGrid/>
                <w:kern w:val="2"/>
                <w:sz w:val="28"/>
                <w:szCs w:val="28"/>
                <w:vertAlign w:val="baseline"/>
                <w:lang w:val="en-US" w:eastAsia="zh-CN"/>
              </w:rPr>
            </w:pPr>
            <w:r>
              <w:rPr>
                <w:rFonts w:hint="eastAsia" w:ascii="黑体" w:hAnsi="黑体" w:eastAsia="黑体" w:cs="黑体"/>
                <w:snapToGrid/>
                <w:kern w:val="2"/>
                <w:sz w:val="28"/>
                <w:szCs w:val="28"/>
                <w:vertAlign w:val="baseline"/>
                <w:lang w:eastAsia="zh-CN"/>
              </w:rPr>
              <w:t>序号</w:t>
            </w:r>
          </w:p>
        </w:tc>
        <w:tc>
          <w:tcPr>
            <w:tcW w:w="1670" w:type="dxa"/>
            <w:noWrap w:val="0"/>
            <w:vAlign w:val="center"/>
          </w:tcPr>
          <w:p w14:paraId="13222638">
            <w:pPr>
              <w:widowControl w:val="0"/>
              <w:kinsoku/>
              <w:autoSpaceDE/>
              <w:autoSpaceDN/>
              <w:adjustRightInd/>
              <w:snapToGrid/>
              <w:spacing w:line="240" w:lineRule="auto"/>
              <w:jc w:val="center"/>
              <w:textAlignment w:val="auto"/>
              <w:rPr>
                <w:rFonts w:hint="eastAsia" w:ascii="黑体" w:hAnsi="黑体" w:eastAsia="黑体" w:cs="黑体"/>
                <w:snapToGrid/>
                <w:kern w:val="2"/>
                <w:sz w:val="28"/>
                <w:szCs w:val="28"/>
                <w:vertAlign w:val="baseline"/>
                <w:lang w:val="en-US" w:eastAsia="zh-CN"/>
              </w:rPr>
            </w:pPr>
            <w:r>
              <w:rPr>
                <w:rFonts w:hint="eastAsia" w:ascii="黑体" w:hAnsi="黑体" w:eastAsia="黑体" w:cs="黑体"/>
                <w:snapToGrid/>
                <w:kern w:val="2"/>
                <w:sz w:val="28"/>
                <w:szCs w:val="28"/>
                <w:vertAlign w:val="baseline"/>
                <w:lang w:eastAsia="zh-CN"/>
              </w:rPr>
              <w:t>实施主体</w:t>
            </w:r>
          </w:p>
        </w:tc>
        <w:tc>
          <w:tcPr>
            <w:tcW w:w="3210" w:type="dxa"/>
            <w:noWrap w:val="0"/>
            <w:vAlign w:val="center"/>
          </w:tcPr>
          <w:p w14:paraId="1D094A9F">
            <w:pPr>
              <w:widowControl w:val="0"/>
              <w:kinsoku/>
              <w:autoSpaceDE/>
              <w:autoSpaceDN/>
              <w:adjustRightInd/>
              <w:snapToGrid/>
              <w:spacing w:line="240" w:lineRule="auto"/>
              <w:jc w:val="center"/>
              <w:textAlignment w:val="auto"/>
              <w:rPr>
                <w:rFonts w:hint="eastAsia" w:ascii="黑体" w:hAnsi="黑体" w:eastAsia="黑体" w:cs="黑体"/>
                <w:snapToGrid/>
                <w:kern w:val="2"/>
                <w:sz w:val="28"/>
                <w:szCs w:val="28"/>
                <w:vertAlign w:val="baseline"/>
                <w:lang w:eastAsia="zh-CN"/>
              </w:rPr>
            </w:pPr>
            <w:r>
              <w:rPr>
                <w:rFonts w:hint="eastAsia" w:ascii="黑体" w:hAnsi="黑体" w:eastAsia="黑体" w:cs="黑体"/>
                <w:snapToGrid/>
                <w:kern w:val="2"/>
                <w:sz w:val="28"/>
                <w:szCs w:val="28"/>
                <w:vertAlign w:val="baseline"/>
                <w:lang w:eastAsia="zh-CN"/>
              </w:rPr>
              <w:t>拟报送的“无事不扰”</w:t>
            </w:r>
          </w:p>
          <w:p w14:paraId="192217B2">
            <w:pPr>
              <w:widowControl w:val="0"/>
              <w:kinsoku/>
              <w:autoSpaceDE/>
              <w:autoSpaceDN/>
              <w:adjustRightInd/>
              <w:snapToGrid/>
              <w:spacing w:line="240" w:lineRule="auto"/>
              <w:jc w:val="center"/>
              <w:textAlignment w:val="auto"/>
              <w:rPr>
                <w:rFonts w:hint="eastAsia" w:ascii="黑体" w:hAnsi="黑体" w:eastAsia="黑体" w:cs="黑体"/>
                <w:snapToGrid/>
                <w:kern w:val="2"/>
                <w:sz w:val="28"/>
                <w:szCs w:val="28"/>
                <w:vertAlign w:val="baseline"/>
                <w:lang w:val="en-US" w:eastAsia="zh-CN"/>
              </w:rPr>
            </w:pPr>
            <w:r>
              <w:rPr>
                <w:rFonts w:hint="eastAsia" w:ascii="黑体" w:hAnsi="黑体" w:eastAsia="黑体" w:cs="黑体"/>
                <w:snapToGrid/>
                <w:kern w:val="2"/>
                <w:sz w:val="28"/>
                <w:szCs w:val="28"/>
                <w:vertAlign w:val="baseline"/>
                <w:lang w:eastAsia="zh-CN"/>
              </w:rPr>
              <w:t>事项名称</w:t>
            </w:r>
          </w:p>
        </w:tc>
        <w:tc>
          <w:tcPr>
            <w:tcW w:w="1800" w:type="dxa"/>
            <w:noWrap w:val="0"/>
            <w:vAlign w:val="center"/>
          </w:tcPr>
          <w:p w14:paraId="6AA8EA9C">
            <w:pPr>
              <w:widowControl w:val="0"/>
              <w:kinsoku/>
              <w:autoSpaceDE/>
              <w:autoSpaceDN/>
              <w:adjustRightInd/>
              <w:snapToGrid/>
              <w:spacing w:line="240" w:lineRule="auto"/>
              <w:jc w:val="center"/>
              <w:textAlignment w:val="auto"/>
              <w:rPr>
                <w:rFonts w:hint="eastAsia" w:ascii="黑体" w:hAnsi="黑体" w:eastAsia="黑体" w:cs="黑体"/>
                <w:snapToGrid/>
                <w:kern w:val="2"/>
                <w:sz w:val="28"/>
                <w:szCs w:val="28"/>
                <w:vertAlign w:val="baseline"/>
                <w:lang w:eastAsia="zh-CN"/>
              </w:rPr>
            </w:pPr>
            <w:r>
              <w:rPr>
                <w:rFonts w:hint="eastAsia" w:ascii="黑体" w:hAnsi="黑体" w:eastAsia="黑体" w:cs="黑体"/>
                <w:snapToGrid/>
                <w:kern w:val="2"/>
                <w:sz w:val="28"/>
                <w:szCs w:val="28"/>
                <w:vertAlign w:val="baseline"/>
                <w:lang w:eastAsia="zh-CN"/>
              </w:rPr>
              <w:t>检查</w:t>
            </w:r>
          </w:p>
          <w:p w14:paraId="6FFB6631">
            <w:pPr>
              <w:widowControl w:val="0"/>
              <w:kinsoku/>
              <w:autoSpaceDE/>
              <w:autoSpaceDN/>
              <w:adjustRightInd/>
              <w:snapToGrid/>
              <w:spacing w:line="240" w:lineRule="auto"/>
              <w:jc w:val="center"/>
              <w:textAlignment w:val="auto"/>
              <w:rPr>
                <w:rFonts w:hint="eastAsia" w:ascii="黑体" w:hAnsi="黑体" w:eastAsia="黑体" w:cs="黑体"/>
                <w:snapToGrid/>
                <w:kern w:val="2"/>
                <w:sz w:val="28"/>
                <w:szCs w:val="28"/>
                <w:vertAlign w:val="baseline"/>
                <w:lang w:val="en-US" w:eastAsia="zh-CN"/>
              </w:rPr>
            </w:pPr>
            <w:r>
              <w:rPr>
                <w:rFonts w:hint="eastAsia" w:ascii="黑体" w:hAnsi="黑体" w:eastAsia="黑体" w:cs="黑体"/>
                <w:snapToGrid/>
                <w:kern w:val="2"/>
                <w:sz w:val="28"/>
                <w:szCs w:val="28"/>
                <w:vertAlign w:val="baseline"/>
                <w:lang w:eastAsia="zh-CN"/>
              </w:rPr>
              <w:t>对象</w:t>
            </w:r>
          </w:p>
        </w:tc>
        <w:tc>
          <w:tcPr>
            <w:tcW w:w="4786" w:type="dxa"/>
            <w:noWrap w:val="0"/>
            <w:vAlign w:val="center"/>
          </w:tcPr>
          <w:p w14:paraId="10E75490">
            <w:pPr>
              <w:widowControl w:val="0"/>
              <w:kinsoku/>
              <w:autoSpaceDE/>
              <w:autoSpaceDN/>
              <w:adjustRightInd/>
              <w:snapToGrid/>
              <w:spacing w:line="240" w:lineRule="auto"/>
              <w:jc w:val="center"/>
              <w:textAlignment w:val="auto"/>
              <w:rPr>
                <w:rFonts w:hint="eastAsia" w:ascii="黑体" w:hAnsi="黑体" w:eastAsia="黑体" w:cs="黑体"/>
                <w:snapToGrid/>
                <w:kern w:val="2"/>
                <w:sz w:val="28"/>
                <w:szCs w:val="28"/>
                <w:vertAlign w:val="baseline"/>
                <w:lang w:eastAsia="zh-CN"/>
              </w:rPr>
            </w:pPr>
            <w:r>
              <w:rPr>
                <w:rFonts w:hint="eastAsia" w:ascii="黑体" w:hAnsi="黑体" w:eastAsia="黑体" w:cs="黑体"/>
                <w:snapToGrid/>
                <w:kern w:val="2"/>
                <w:sz w:val="28"/>
                <w:szCs w:val="28"/>
                <w:vertAlign w:val="baseline"/>
                <w:lang w:eastAsia="zh-CN"/>
              </w:rPr>
              <w:t>监管事项的</w:t>
            </w:r>
          </w:p>
          <w:p w14:paraId="23BDD879">
            <w:pPr>
              <w:widowControl w:val="0"/>
              <w:kinsoku/>
              <w:autoSpaceDE/>
              <w:autoSpaceDN/>
              <w:adjustRightInd/>
              <w:snapToGrid/>
              <w:spacing w:line="240" w:lineRule="auto"/>
              <w:jc w:val="center"/>
              <w:textAlignment w:val="auto"/>
              <w:rPr>
                <w:rFonts w:hint="eastAsia" w:ascii="黑体" w:hAnsi="黑体" w:eastAsia="黑体" w:cs="黑体"/>
                <w:snapToGrid/>
                <w:kern w:val="2"/>
                <w:sz w:val="28"/>
                <w:szCs w:val="28"/>
                <w:vertAlign w:val="baseline"/>
                <w:lang w:val="en-US" w:eastAsia="zh-CN"/>
              </w:rPr>
            </w:pPr>
            <w:r>
              <w:rPr>
                <w:rFonts w:hint="eastAsia" w:ascii="黑体" w:hAnsi="黑体" w:eastAsia="黑体" w:cs="黑体"/>
                <w:snapToGrid/>
                <w:kern w:val="2"/>
                <w:sz w:val="28"/>
                <w:szCs w:val="28"/>
                <w:vertAlign w:val="baseline"/>
                <w:lang w:eastAsia="zh-CN"/>
              </w:rPr>
              <w:t>设定依据</w:t>
            </w:r>
          </w:p>
        </w:tc>
        <w:tc>
          <w:tcPr>
            <w:tcW w:w="1383" w:type="dxa"/>
            <w:noWrap w:val="0"/>
            <w:vAlign w:val="center"/>
          </w:tcPr>
          <w:p w14:paraId="2548CC1F">
            <w:pPr>
              <w:widowControl w:val="0"/>
              <w:kinsoku/>
              <w:autoSpaceDE/>
              <w:autoSpaceDN/>
              <w:adjustRightInd/>
              <w:snapToGrid/>
              <w:spacing w:line="240" w:lineRule="auto"/>
              <w:jc w:val="center"/>
              <w:textAlignment w:val="auto"/>
              <w:rPr>
                <w:rFonts w:hint="eastAsia" w:ascii="黑体" w:hAnsi="黑体" w:eastAsia="黑体" w:cs="黑体"/>
                <w:snapToGrid/>
                <w:kern w:val="2"/>
                <w:sz w:val="28"/>
                <w:szCs w:val="28"/>
                <w:vertAlign w:val="baseline"/>
                <w:lang w:eastAsia="zh-CN"/>
              </w:rPr>
            </w:pPr>
            <w:r>
              <w:rPr>
                <w:rFonts w:hint="eastAsia" w:ascii="黑体" w:hAnsi="黑体" w:eastAsia="黑体" w:cs="黑体"/>
                <w:snapToGrid/>
                <w:w w:val="66"/>
                <w:kern w:val="2"/>
                <w:sz w:val="28"/>
                <w:szCs w:val="28"/>
                <w:vertAlign w:val="baseline"/>
                <w:lang w:eastAsia="zh-CN"/>
              </w:rPr>
              <w:t>符合“无事不扰”事项认定标准的类型</w:t>
            </w:r>
          </w:p>
          <w:p w14:paraId="61367516">
            <w:pPr>
              <w:widowControl w:val="0"/>
              <w:kinsoku/>
              <w:autoSpaceDE/>
              <w:autoSpaceDN/>
              <w:adjustRightInd/>
              <w:snapToGrid/>
              <w:spacing w:line="240" w:lineRule="auto"/>
              <w:jc w:val="center"/>
              <w:textAlignment w:val="auto"/>
              <w:rPr>
                <w:rFonts w:hint="eastAsia" w:ascii="黑体" w:hAnsi="黑体" w:eastAsia="黑体" w:cs="黑体"/>
                <w:snapToGrid/>
                <w:kern w:val="2"/>
                <w:sz w:val="28"/>
                <w:szCs w:val="28"/>
                <w:vertAlign w:val="baseline"/>
                <w:lang w:val="en-US" w:eastAsia="zh-CN"/>
              </w:rPr>
            </w:pPr>
            <w:r>
              <w:rPr>
                <w:rFonts w:hint="eastAsia" w:ascii="黑体" w:hAnsi="黑体" w:eastAsia="黑体" w:cs="黑体"/>
                <w:snapToGrid/>
                <w:w w:val="66"/>
                <w:kern w:val="2"/>
                <w:sz w:val="28"/>
                <w:szCs w:val="28"/>
                <w:vertAlign w:val="baseline"/>
                <w:lang w:eastAsia="zh-CN"/>
              </w:rPr>
              <w:t>（类型一或类型二）</w:t>
            </w:r>
          </w:p>
        </w:tc>
        <w:tc>
          <w:tcPr>
            <w:tcW w:w="869" w:type="dxa"/>
            <w:noWrap w:val="0"/>
            <w:vAlign w:val="center"/>
          </w:tcPr>
          <w:p w14:paraId="1F3CB546">
            <w:pPr>
              <w:widowControl w:val="0"/>
              <w:kinsoku/>
              <w:autoSpaceDE/>
              <w:autoSpaceDN/>
              <w:adjustRightInd/>
              <w:snapToGrid/>
              <w:spacing w:line="240" w:lineRule="auto"/>
              <w:jc w:val="center"/>
              <w:textAlignment w:val="auto"/>
              <w:rPr>
                <w:rFonts w:hint="eastAsia" w:ascii="黑体" w:hAnsi="黑体" w:eastAsia="黑体" w:cs="黑体"/>
                <w:snapToGrid/>
                <w:kern w:val="2"/>
                <w:sz w:val="28"/>
                <w:szCs w:val="28"/>
                <w:vertAlign w:val="baseline"/>
                <w:lang w:val="en-US" w:eastAsia="zh-CN"/>
              </w:rPr>
            </w:pPr>
            <w:r>
              <w:rPr>
                <w:rFonts w:hint="eastAsia" w:ascii="黑体" w:hAnsi="黑体" w:eastAsia="黑体" w:cs="黑体"/>
                <w:snapToGrid/>
                <w:kern w:val="2"/>
                <w:sz w:val="28"/>
                <w:szCs w:val="28"/>
                <w:vertAlign w:val="baseline"/>
                <w:lang w:eastAsia="zh-CN"/>
              </w:rPr>
              <w:t>备注</w:t>
            </w:r>
          </w:p>
        </w:tc>
      </w:tr>
      <w:tr w14:paraId="11EB6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333" w:hRule="atLeast"/>
        </w:trPr>
        <w:tc>
          <w:tcPr>
            <w:tcW w:w="790" w:type="dxa"/>
            <w:shd w:val="clear" w:color="auto" w:fill="auto"/>
            <w:noWrap w:val="0"/>
            <w:vAlign w:val="center"/>
          </w:tcPr>
          <w:p w14:paraId="2561671A">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w:t>
            </w:r>
          </w:p>
        </w:tc>
        <w:tc>
          <w:tcPr>
            <w:tcW w:w="1670" w:type="dxa"/>
            <w:shd w:val="clear" w:color="auto" w:fill="auto"/>
            <w:noWrap w:val="0"/>
            <w:vAlign w:val="center"/>
          </w:tcPr>
          <w:p w14:paraId="01DFEBE5">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济南市历下区民族宗教事务局（1）</w:t>
            </w:r>
          </w:p>
        </w:tc>
        <w:tc>
          <w:tcPr>
            <w:tcW w:w="3210" w:type="dxa"/>
            <w:shd w:val="clear" w:color="auto" w:fill="auto"/>
            <w:noWrap w:val="0"/>
            <w:vAlign w:val="center"/>
          </w:tcPr>
          <w:p w14:paraId="7752EE92">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对清真食品生产经营条件的监督检查</w:t>
            </w:r>
          </w:p>
        </w:tc>
        <w:tc>
          <w:tcPr>
            <w:tcW w:w="1800" w:type="dxa"/>
            <w:shd w:val="clear" w:color="auto" w:fill="auto"/>
            <w:noWrap w:val="0"/>
            <w:vAlign w:val="center"/>
          </w:tcPr>
          <w:p w14:paraId="475320B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生产经营清真食品企业、个体工商户</w:t>
            </w:r>
          </w:p>
        </w:tc>
        <w:tc>
          <w:tcPr>
            <w:tcW w:w="4786" w:type="dxa"/>
            <w:shd w:val="clear" w:color="auto" w:fill="auto"/>
            <w:noWrap w:val="0"/>
            <w:vAlign w:val="center"/>
          </w:tcPr>
          <w:p w14:paraId="45FE88B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《山东省民族工作条例》</w:t>
            </w:r>
            <w:r>
              <w:rPr>
                <w:rFonts w:hint="eastAsia" w:ascii="仿宋_GB2312" w:hAnsi="宋体" w:eastAsia="仿宋_GB2312" w:cs="仿宋_GB2312"/>
                <w:b/>
                <w:bCs/>
                <w:i w:val="0"/>
                <w:iCs w:val="0"/>
                <w:snapToGrid/>
                <w:color w:val="000000"/>
                <w:kern w:val="0"/>
                <w:sz w:val="24"/>
                <w:szCs w:val="24"/>
                <w:u w:val="none"/>
                <w:lang w:val="en-US" w:eastAsia="zh-CN" w:bidi="ar"/>
              </w:rPr>
              <w:br w:type="textWrapping"/>
            </w:r>
            <w:r>
              <w:rPr>
                <w:rFonts w:hint="eastAsia" w:ascii="仿宋_GB2312" w:hAnsi="宋体" w:eastAsia="仿宋_GB2312" w:cs="仿宋_GB2312"/>
                <w:b/>
                <w:bCs/>
                <w:i w:val="0"/>
                <w:iCs w:val="0"/>
                <w:snapToGrid/>
                <w:color w:val="000000"/>
                <w:kern w:val="0"/>
                <w:sz w:val="24"/>
                <w:szCs w:val="24"/>
                <w:u w:val="none"/>
                <w:lang w:val="en-US" w:eastAsia="zh-CN" w:bidi="ar"/>
              </w:rPr>
              <w:t>《山东省清真食品管理规定》</w:t>
            </w:r>
          </w:p>
        </w:tc>
        <w:tc>
          <w:tcPr>
            <w:tcW w:w="1383" w:type="dxa"/>
            <w:shd w:val="clear" w:color="auto" w:fill="auto"/>
            <w:noWrap w:val="0"/>
            <w:vAlign w:val="center"/>
          </w:tcPr>
          <w:p w14:paraId="1DE7F0FF">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noWrap w:val="0"/>
            <w:vAlign w:val="center"/>
          </w:tcPr>
          <w:p w14:paraId="37CB72D4">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68E07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333" w:hRule="atLeast"/>
        </w:trPr>
        <w:tc>
          <w:tcPr>
            <w:tcW w:w="790" w:type="dxa"/>
            <w:shd w:val="clear" w:color="auto" w:fill="auto"/>
            <w:noWrap w:val="0"/>
            <w:vAlign w:val="center"/>
          </w:tcPr>
          <w:p w14:paraId="1B6E2BF8">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w:t>
            </w:r>
          </w:p>
        </w:tc>
        <w:tc>
          <w:tcPr>
            <w:tcW w:w="1670" w:type="dxa"/>
            <w:vMerge w:val="restart"/>
            <w:shd w:val="clear" w:color="auto" w:fill="auto"/>
            <w:noWrap w:val="0"/>
            <w:vAlign w:val="center"/>
          </w:tcPr>
          <w:p w14:paraId="20EF2EB0">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济南市历下区发展和改革局（7）</w:t>
            </w:r>
          </w:p>
        </w:tc>
        <w:tc>
          <w:tcPr>
            <w:tcW w:w="3210" w:type="dxa"/>
            <w:shd w:val="clear" w:color="auto" w:fill="auto"/>
            <w:noWrap w:val="0"/>
            <w:vAlign w:val="center"/>
          </w:tcPr>
          <w:p w14:paraId="6151B24A">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对已开工企业投资核准、备案项目的检查</w:t>
            </w:r>
          </w:p>
        </w:tc>
        <w:tc>
          <w:tcPr>
            <w:tcW w:w="1800" w:type="dxa"/>
            <w:shd w:val="clear" w:color="auto" w:fill="auto"/>
            <w:noWrap w:val="0"/>
            <w:vAlign w:val="center"/>
          </w:tcPr>
          <w:p w14:paraId="5A9109B4">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noWrap w:val="0"/>
            <w:vAlign w:val="center"/>
          </w:tcPr>
          <w:p w14:paraId="2C8AB593">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《企业投资项目事中事后监管办法》</w:t>
            </w:r>
          </w:p>
        </w:tc>
        <w:tc>
          <w:tcPr>
            <w:tcW w:w="1383" w:type="dxa"/>
            <w:shd w:val="clear" w:color="auto" w:fill="auto"/>
            <w:noWrap w:val="0"/>
            <w:vAlign w:val="center"/>
          </w:tcPr>
          <w:p w14:paraId="5612A04A">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noWrap w:val="0"/>
            <w:vAlign w:val="center"/>
          </w:tcPr>
          <w:p w14:paraId="0C092D8C">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0200C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333" w:hRule="atLeast"/>
        </w:trPr>
        <w:tc>
          <w:tcPr>
            <w:tcW w:w="790" w:type="dxa"/>
            <w:shd w:val="clear" w:color="auto" w:fill="auto"/>
            <w:noWrap w:val="0"/>
            <w:vAlign w:val="center"/>
          </w:tcPr>
          <w:p w14:paraId="027359AD">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w:t>
            </w:r>
          </w:p>
        </w:tc>
        <w:tc>
          <w:tcPr>
            <w:tcW w:w="1670" w:type="dxa"/>
            <w:vMerge w:val="continue"/>
            <w:shd w:val="clear" w:color="auto" w:fill="auto"/>
            <w:noWrap w:val="0"/>
            <w:vAlign w:val="center"/>
          </w:tcPr>
          <w:p w14:paraId="7381E0BC">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noWrap w:val="0"/>
            <w:vAlign w:val="center"/>
          </w:tcPr>
          <w:p w14:paraId="4DFAB94A">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对节能审查意见落实情况的检查</w:t>
            </w:r>
          </w:p>
        </w:tc>
        <w:tc>
          <w:tcPr>
            <w:tcW w:w="1800" w:type="dxa"/>
            <w:shd w:val="clear" w:color="auto" w:fill="auto"/>
            <w:noWrap w:val="0"/>
            <w:vAlign w:val="center"/>
          </w:tcPr>
          <w:p w14:paraId="4AD3E07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noWrap w:val="0"/>
            <w:vAlign w:val="center"/>
          </w:tcPr>
          <w:p w14:paraId="1DAF8DE1">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《固定资产投资项目节能审查办法》</w:t>
            </w:r>
          </w:p>
        </w:tc>
        <w:tc>
          <w:tcPr>
            <w:tcW w:w="1383" w:type="dxa"/>
            <w:shd w:val="clear" w:color="auto" w:fill="auto"/>
            <w:noWrap w:val="0"/>
            <w:vAlign w:val="center"/>
          </w:tcPr>
          <w:p w14:paraId="13345103">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noWrap w:val="0"/>
            <w:vAlign w:val="center"/>
          </w:tcPr>
          <w:p w14:paraId="54B3E998">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12FCB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333" w:hRule="atLeast"/>
        </w:trPr>
        <w:tc>
          <w:tcPr>
            <w:tcW w:w="790" w:type="dxa"/>
            <w:shd w:val="clear" w:color="auto" w:fill="auto"/>
            <w:noWrap w:val="0"/>
            <w:vAlign w:val="center"/>
          </w:tcPr>
          <w:p w14:paraId="677C14B0">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w:t>
            </w:r>
          </w:p>
        </w:tc>
        <w:tc>
          <w:tcPr>
            <w:tcW w:w="1670" w:type="dxa"/>
            <w:vMerge w:val="continue"/>
            <w:shd w:val="clear" w:color="auto" w:fill="auto"/>
            <w:noWrap w:val="0"/>
            <w:vAlign w:val="center"/>
          </w:tcPr>
          <w:p w14:paraId="48E04A06">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noWrap w:val="0"/>
            <w:vAlign w:val="center"/>
          </w:tcPr>
          <w:p w14:paraId="651C63E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对农药生产经营企业的监督检查</w:t>
            </w:r>
          </w:p>
        </w:tc>
        <w:tc>
          <w:tcPr>
            <w:tcW w:w="1800" w:type="dxa"/>
            <w:shd w:val="clear" w:color="auto" w:fill="auto"/>
            <w:noWrap w:val="0"/>
            <w:vAlign w:val="center"/>
          </w:tcPr>
          <w:p w14:paraId="521D90D9">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noWrap w:val="0"/>
            <w:vAlign w:val="center"/>
          </w:tcPr>
          <w:p w14:paraId="799B73A1">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《农药管理条例》</w:t>
            </w:r>
          </w:p>
        </w:tc>
        <w:tc>
          <w:tcPr>
            <w:tcW w:w="1383" w:type="dxa"/>
            <w:shd w:val="clear" w:color="auto" w:fill="auto"/>
            <w:noWrap w:val="0"/>
            <w:vAlign w:val="center"/>
          </w:tcPr>
          <w:p w14:paraId="230A8DE1">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noWrap w:val="0"/>
            <w:vAlign w:val="center"/>
          </w:tcPr>
          <w:p w14:paraId="24719E50">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3902B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333" w:hRule="atLeast"/>
        </w:trPr>
        <w:tc>
          <w:tcPr>
            <w:tcW w:w="790" w:type="dxa"/>
            <w:shd w:val="clear" w:color="auto" w:fill="auto"/>
            <w:noWrap w:val="0"/>
            <w:vAlign w:val="center"/>
          </w:tcPr>
          <w:p w14:paraId="491001AA">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5</w:t>
            </w:r>
          </w:p>
        </w:tc>
        <w:tc>
          <w:tcPr>
            <w:tcW w:w="1670" w:type="dxa"/>
            <w:vMerge w:val="continue"/>
            <w:shd w:val="clear" w:color="auto" w:fill="auto"/>
            <w:noWrap w:val="0"/>
            <w:vAlign w:val="center"/>
          </w:tcPr>
          <w:p w14:paraId="7F2F27ED">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noWrap w:val="0"/>
            <w:vAlign w:val="center"/>
          </w:tcPr>
          <w:p w14:paraId="254C13DE">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对肥料生产经营企业的监督检查</w:t>
            </w:r>
          </w:p>
        </w:tc>
        <w:tc>
          <w:tcPr>
            <w:tcW w:w="1800" w:type="dxa"/>
            <w:shd w:val="clear" w:color="auto" w:fill="auto"/>
            <w:noWrap w:val="0"/>
            <w:vAlign w:val="center"/>
          </w:tcPr>
          <w:p w14:paraId="41701DD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noWrap w:val="0"/>
            <w:vAlign w:val="center"/>
          </w:tcPr>
          <w:p w14:paraId="572E2CC4">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《肥料登记管理办法》</w:t>
            </w:r>
          </w:p>
        </w:tc>
        <w:tc>
          <w:tcPr>
            <w:tcW w:w="1383" w:type="dxa"/>
            <w:shd w:val="clear" w:color="auto" w:fill="auto"/>
            <w:noWrap w:val="0"/>
            <w:vAlign w:val="center"/>
          </w:tcPr>
          <w:p w14:paraId="602F3481">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noWrap w:val="0"/>
            <w:vAlign w:val="center"/>
          </w:tcPr>
          <w:p w14:paraId="770F33CB">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2B00B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333" w:hRule="atLeast"/>
        </w:trPr>
        <w:tc>
          <w:tcPr>
            <w:tcW w:w="790" w:type="dxa"/>
            <w:shd w:val="clear" w:color="auto" w:fill="auto"/>
            <w:noWrap w:val="0"/>
            <w:vAlign w:val="center"/>
          </w:tcPr>
          <w:p w14:paraId="775B6ED7">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6</w:t>
            </w:r>
          </w:p>
        </w:tc>
        <w:tc>
          <w:tcPr>
            <w:tcW w:w="1670" w:type="dxa"/>
            <w:vMerge w:val="continue"/>
            <w:shd w:val="clear" w:color="auto" w:fill="auto"/>
            <w:noWrap w:val="0"/>
            <w:vAlign w:val="center"/>
          </w:tcPr>
          <w:p w14:paraId="30CA1CE2">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noWrap w:val="0"/>
            <w:vAlign w:val="center"/>
          </w:tcPr>
          <w:p w14:paraId="3193EFAA">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动物诊疗机构监督检查</w:t>
            </w:r>
          </w:p>
        </w:tc>
        <w:tc>
          <w:tcPr>
            <w:tcW w:w="1800" w:type="dxa"/>
            <w:shd w:val="clear" w:color="auto" w:fill="auto"/>
            <w:noWrap w:val="0"/>
            <w:vAlign w:val="center"/>
          </w:tcPr>
          <w:p w14:paraId="4076760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noWrap w:val="0"/>
            <w:vAlign w:val="center"/>
          </w:tcPr>
          <w:p w14:paraId="560AE62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《动物诊疗机构管理办法》</w:t>
            </w:r>
          </w:p>
        </w:tc>
        <w:tc>
          <w:tcPr>
            <w:tcW w:w="1383" w:type="dxa"/>
            <w:shd w:val="clear" w:color="auto" w:fill="auto"/>
            <w:noWrap w:val="0"/>
            <w:vAlign w:val="center"/>
          </w:tcPr>
          <w:p w14:paraId="4610A039">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noWrap w:val="0"/>
            <w:vAlign w:val="center"/>
          </w:tcPr>
          <w:p w14:paraId="722A45C6">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15DBA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333" w:hRule="atLeast"/>
        </w:trPr>
        <w:tc>
          <w:tcPr>
            <w:tcW w:w="790" w:type="dxa"/>
            <w:shd w:val="clear" w:color="auto" w:fill="auto"/>
            <w:noWrap w:val="0"/>
            <w:vAlign w:val="center"/>
          </w:tcPr>
          <w:p w14:paraId="5AF22F0D">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7</w:t>
            </w:r>
          </w:p>
        </w:tc>
        <w:tc>
          <w:tcPr>
            <w:tcW w:w="1670" w:type="dxa"/>
            <w:vMerge w:val="continue"/>
            <w:shd w:val="clear" w:color="auto" w:fill="auto"/>
            <w:noWrap w:val="0"/>
            <w:vAlign w:val="center"/>
          </w:tcPr>
          <w:p w14:paraId="65F5B30D">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noWrap w:val="0"/>
            <w:vAlign w:val="center"/>
          </w:tcPr>
          <w:p w14:paraId="5FE358A9">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地方储备粮监督检查</w:t>
            </w:r>
          </w:p>
        </w:tc>
        <w:tc>
          <w:tcPr>
            <w:tcW w:w="1800" w:type="dxa"/>
            <w:shd w:val="clear" w:color="auto" w:fill="auto"/>
            <w:noWrap w:val="0"/>
            <w:vAlign w:val="center"/>
          </w:tcPr>
          <w:p w14:paraId="186B4F7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noWrap w:val="0"/>
            <w:vAlign w:val="center"/>
          </w:tcPr>
          <w:p w14:paraId="05E5EA5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《粮食流通行政执法办法》</w:t>
            </w:r>
          </w:p>
        </w:tc>
        <w:tc>
          <w:tcPr>
            <w:tcW w:w="1383" w:type="dxa"/>
            <w:shd w:val="clear" w:color="auto" w:fill="auto"/>
            <w:noWrap w:val="0"/>
            <w:vAlign w:val="center"/>
          </w:tcPr>
          <w:p w14:paraId="5B4D1E5F">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noWrap w:val="0"/>
            <w:vAlign w:val="center"/>
          </w:tcPr>
          <w:p w14:paraId="1DCEBA84">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51C4D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824" w:hRule="atLeast"/>
        </w:trPr>
        <w:tc>
          <w:tcPr>
            <w:tcW w:w="790" w:type="dxa"/>
            <w:shd w:val="clear" w:color="auto" w:fill="auto"/>
            <w:noWrap w:val="0"/>
            <w:vAlign w:val="center"/>
          </w:tcPr>
          <w:p w14:paraId="0E247CAA">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8</w:t>
            </w:r>
          </w:p>
        </w:tc>
        <w:tc>
          <w:tcPr>
            <w:tcW w:w="1670" w:type="dxa"/>
            <w:vMerge w:val="continue"/>
            <w:shd w:val="clear" w:color="auto" w:fill="auto"/>
            <w:noWrap w:val="0"/>
            <w:vAlign w:val="center"/>
          </w:tcPr>
          <w:p w14:paraId="3753ADF4">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noWrap w:val="0"/>
            <w:vAlign w:val="center"/>
          </w:tcPr>
          <w:p w14:paraId="4FC070DF">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对人民防空防护设备产品质量、维护管理等的监督检查</w:t>
            </w:r>
          </w:p>
        </w:tc>
        <w:tc>
          <w:tcPr>
            <w:tcW w:w="1800" w:type="dxa"/>
            <w:shd w:val="clear" w:color="auto" w:fill="auto"/>
            <w:noWrap w:val="0"/>
            <w:vAlign w:val="center"/>
          </w:tcPr>
          <w:p w14:paraId="694873AE">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防护设备生产</w:t>
            </w:r>
          </w:p>
          <w:p w14:paraId="065D1B54">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安装企业</w:t>
            </w:r>
          </w:p>
        </w:tc>
        <w:tc>
          <w:tcPr>
            <w:tcW w:w="4786" w:type="dxa"/>
            <w:shd w:val="clear" w:color="auto" w:fill="auto"/>
            <w:noWrap w:val="0"/>
            <w:vAlign w:val="center"/>
          </w:tcPr>
          <w:p w14:paraId="0FA35FF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《人民防空防护设备管理办法》</w:t>
            </w:r>
          </w:p>
        </w:tc>
        <w:tc>
          <w:tcPr>
            <w:tcW w:w="1383" w:type="dxa"/>
            <w:shd w:val="clear" w:color="auto" w:fill="auto"/>
            <w:noWrap w:val="0"/>
            <w:vAlign w:val="center"/>
          </w:tcPr>
          <w:p w14:paraId="7846C087">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noWrap w:val="0"/>
            <w:vAlign w:val="center"/>
          </w:tcPr>
          <w:p w14:paraId="37941AA6">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06B30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650" w:hRule="atLeast"/>
        </w:trPr>
        <w:tc>
          <w:tcPr>
            <w:tcW w:w="790" w:type="dxa"/>
            <w:shd w:val="clear" w:color="auto" w:fill="auto"/>
            <w:vAlign w:val="center"/>
          </w:tcPr>
          <w:p w14:paraId="5F63AD77">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9</w:t>
            </w:r>
          </w:p>
        </w:tc>
        <w:tc>
          <w:tcPr>
            <w:tcW w:w="1670" w:type="dxa"/>
            <w:vMerge w:val="restart"/>
            <w:shd w:val="clear" w:color="auto" w:fill="auto"/>
            <w:vAlign w:val="center"/>
          </w:tcPr>
          <w:p w14:paraId="4D451AEB">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济南市历下区工业和信息化局（8）</w:t>
            </w:r>
          </w:p>
        </w:tc>
        <w:tc>
          <w:tcPr>
            <w:tcW w:w="3210" w:type="dxa"/>
            <w:shd w:val="clear" w:color="auto" w:fill="auto"/>
            <w:vAlign w:val="center"/>
          </w:tcPr>
          <w:p w14:paraId="023EB76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对企业技术改造投资项目核准、备案行为的检查</w:t>
            </w:r>
          </w:p>
        </w:tc>
        <w:tc>
          <w:tcPr>
            <w:tcW w:w="1800" w:type="dxa"/>
            <w:shd w:val="clear" w:color="auto" w:fill="auto"/>
            <w:vAlign w:val="center"/>
          </w:tcPr>
          <w:p w14:paraId="5A940F8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企业技术改造投资项目核准、备案行为</w:t>
            </w:r>
          </w:p>
        </w:tc>
        <w:tc>
          <w:tcPr>
            <w:tcW w:w="4786" w:type="dxa"/>
            <w:shd w:val="clear" w:color="auto" w:fill="auto"/>
            <w:vAlign w:val="center"/>
          </w:tcPr>
          <w:p w14:paraId="70EBB597">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《企业投资项目核准和备案管理条例》《企业投资项目核准和备案管理办法》</w:t>
            </w:r>
          </w:p>
        </w:tc>
        <w:tc>
          <w:tcPr>
            <w:tcW w:w="1383" w:type="dxa"/>
            <w:shd w:val="clear" w:color="auto" w:fill="auto"/>
            <w:vAlign w:val="center"/>
          </w:tcPr>
          <w:p w14:paraId="0D1AE247">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5A483442">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0AE0B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961" w:hRule="atLeast"/>
        </w:trPr>
        <w:tc>
          <w:tcPr>
            <w:tcW w:w="790" w:type="dxa"/>
            <w:shd w:val="clear" w:color="auto" w:fill="auto"/>
            <w:vAlign w:val="center"/>
          </w:tcPr>
          <w:p w14:paraId="6518AC4D">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10</w:t>
            </w:r>
          </w:p>
        </w:tc>
        <w:tc>
          <w:tcPr>
            <w:tcW w:w="1670" w:type="dxa"/>
            <w:vMerge w:val="continue"/>
            <w:shd w:val="clear" w:color="auto" w:fill="auto"/>
            <w:vAlign w:val="center"/>
          </w:tcPr>
          <w:p w14:paraId="48E8F969">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00CDE81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对从事监控化学品生产、经营、使用以及进出口单位的监控化学品有关情况的检查</w:t>
            </w:r>
          </w:p>
        </w:tc>
        <w:tc>
          <w:tcPr>
            <w:tcW w:w="1800" w:type="dxa"/>
            <w:shd w:val="clear" w:color="auto" w:fill="auto"/>
            <w:vAlign w:val="center"/>
          </w:tcPr>
          <w:p w14:paraId="2DD5D05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从事监控化学品生产、经营、使用以及进出口的单位</w:t>
            </w:r>
          </w:p>
        </w:tc>
        <w:tc>
          <w:tcPr>
            <w:tcW w:w="4786" w:type="dxa"/>
            <w:shd w:val="clear" w:color="auto" w:fill="auto"/>
            <w:vAlign w:val="center"/>
          </w:tcPr>
          <w:p w14:paraId="2DAEF67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《监控化学品管理条例》《&lt;中华人民共和国监控化学品管理条例&gt;实施细则》</w:t>
            </w:r>
          </w:p>
        </w:tc>
        <w:tc>
          <w:tcPr>
            <w:tcW w:w="1383" w:type="dxa"/>
            <w:shd w:val="clear" w:color="auto" w:fill="auto"/>
            <w:vAlign w:val="center"/>
          </w:tcPr>
          <w:p w14:paraId="34B1D920">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6886A167">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43586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799" w:hRule="atLeast"/>
        </w:trPr>
        <w:tc>
          <w:tcPr>
            <w:tcW w:w="790" w:type="dxa"/>
            <w:shd w:val="clear" w:color="auto" w:fill="auto"/>
            <w:vAlign w:val="center"/>
          </w:tcPr>
          <w:p w14:paraId="497B8EBD">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11</w:t>
            </w:r>
          </w:p>
        </w:tc>
        <w:tc>
          <w:tcPr>
            <w:tcW w:w="1670" w:type="dxa"/>
            <w:vMerge w:val="continue"/>
            <w:shd w:val="clear" w:color="auto" w:fill="auto"/>
            <w:vAlign w:val="center"/>
          </w:tcPr>
          <w:p w14:paraId="3CA31815">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0EDC5D04">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食盐专营工作检查</w:t>
            </w:r>
          </w:p>
        </w:tc>
        <w:tc>
          <w:tcPr>
            <w:tcW w:w="1800" w:type="dxa"/>
            <w:shd w:val="clear" w:color="auto" w:fill="auto"/>
            <w:vAlign w:val="center"/>
          </w:tcPr>
          <w:p w14:paraId="48F1F814">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食盐定点生产企业和食盐定点批发企业</w:t>
            </w:r>
          </w:p>
        </w:tc>
        <w:tc>
          <w:tcPr>
            <w:tcW w:w="4786" w:type="dxa"/>
            <w:shd w:val="clear" w:color="auto" w:fill="auto"/>
            <w:vAlign w:val="center"/>
          </w:tcPr>
          <w:p w14:paraId="592E61A4">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《食盐专营办法》《&lt;食盐定点生产企业和食盐定点批发企业规范条件&gt;&lt;食盐定点生产企业和食盐定点批发企业规范条件管理办法&gt;》</w:t>
            </w:r>
          </w:p>
        </w:tc>
        <w:tc>
          <w:tcPr>
            <w:tcW w:w="1383" w:type="dxa"/>
            <w:shd w:val="clear" w:color="auto" w:fill="auto"/>
            <w:vAlign w:val="center"/>
          </w:tcPr>
          <w:p w14:paraId="774B049B">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77C58C8D">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2E0F4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587" w:hRule="atLeast"/>
        </w:trPr>
        <w:tc>
          <w:tcPr>
            <w:tcW w:w="790" w:type="dxa"/>
            <w:shd w:val="clear" w:color="auto" w:fill="auto"/>
            <w:vAlign w:val="center"/>
          </w:tcPr>
          <w:p w14:paraId="18CBB2EE">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12</w:t>
            </w:r>
          </w:p>
        </w:tc>
        <w:tc>
          <w:tcPr>
            <w:tcW w:w="1670" w:type="dxa"/>
            <w:vMerge w:val="continue"/>
            <w:shd w:val="clear" w:color="auto" w:fill="auto"/>
            <w:vAlign w:val="center"/>
          </w:tcPr>
          <w:p w14:paraId="7EEF5A47">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6A74FC7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对民用爆炸物品生产、销售企业的现场安全检查</w:t>
            </w:r>
          </w:p>
        </w:tc>
        <w:tc>
          <w:tcPr>
            <w:tcW w:w="1800" w:type="dxa"/>
            <w:shd w:val="clear" w:color="auto" w:fill="auto"/>
            <w:vAlign w:val="center"/>
          </w:tcPr>
          <w:p w14:paraId="178DE7EE">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民用爆炸物品生产、销售企业</w:t>
            </w:r>
          </w:p>
        </w:tc>
        <w:tc>
          <w:tcPr>
            <w:tcW w:w="4786" w:type="dxa"/>
            <w:shd w:val="clear" w:color="auto" w:fill="auto"/>
            <w:vAlign w:val="center"/>
          </w:tcPr>
          <w:p w14:paraId="5BBAF347">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《民用爆炸物品安全管理条例》《山东省安全生产行政责任制规定》</w:t>
            </w:r>
          </w:p>
        </w:tc>
        <w:tc>
          <w:tcPr>
            <w:tcW w:w="1383" w:type="dxa"/>
            <w:shd w:val="clear" w:color="auto" w:fill="auto"/>
            <w:vAlign w:val="center"/>
          </w:tcPr>
          <w:p w14:paraId="1632B5C0">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49EBEA79">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4C546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879" w:hRule="atLeast"/>
        </w:trPr>
        <w:tc>
          <w:tcPr>
            <w:tcW w:w="790" w:type="dxa"/>
            <w:shd w:val="clear" w:color="auto" w:fill="auto"/>
            <w:vAlign w:val="center"/>
          </w:tcPr>
          <w:p w14:paraId="21090B3D">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13</w:t>
            </w:r>
          </w:p>
        </w:tc>
        <w:tc>
          <w:tcPr>
            <w:tcW w:w="1670" w:type="dxa"/>
            <w:vMerge w:val="continue"/>
            <w:shd w:val="clear" w:color="auto" w:fill="auto"/>
            <w:vAlign w:val="top"/>
          </w:tcPr>
          <w:p w14:paraId="0D76C661">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2D0D2F16">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对工业节能工作开展情况的监督检查</w:t>
            </w:r>
          </w:p>
        </w:tc>
        <w:tc>
          <w:tcPr>
            <w:tcW w:w="1800" w:type="dxa"/>
            <w:shd w:val="clear" w:color="auto" w:fill="auto"/>
            <w:vAlign w:val="center"/>
          </w:tcPr>
          <w:p w14:paraId="40F2C02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工业企业</w:t>
            </w:r>
          </w:p>
        </w:tc>
        <w:tc>
          <w:tcPr>
            <w:tcW w:w="4786" w:type="dxa"/>
            <w:shd w:val="clear" w:color="auto" w:fill="auto"/>
            <w:vAlign w:val="center"/>
          </w:tcPr>
          <w:p w14:paraId="375E4C7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《中华人民共和国节约能源法》《工业节能管理办法》《工业节能监察办法》</w:t>
            </w:r>
          </w:p>
        </w:tc>
        <w:tc>
          <w:tcPr>
            <w:tcW w:w="1383" w:type="dxa"/>
            <w:shd w:val="clear" w:color="auto" w:fill="auto"/>
            <w:vAlign w:val="center"/>
          </w:tcPr>
          <w:p w14:paraId="033A88C6">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11A4C20E">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5591C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637" w:hRule="atLeast"/>
        </w:trPr>
        <w:tc>
          <w:tcPr>
            <w:tcW w:w="790" w:type="dxa"/>
            <w:shd w:val="clear" w:color="auto" w:fill="auto"/>
            <w:vAlign w:val="center"/>
          </w:tcPr>
          <w:p w14:paraId="450DDE4F">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14</w:t>
            </w:r>
          </w:p>
        </w:tc>
        <w:tc>
          <w:tcPr>
            <w:tcW w:w="1670" w:type="dxa"/>
            <w:vMerge w:val="continue"/>
            <w:shd w:val="clear" w:color="auto" w:fill="auto"/>
            <w:vAlign w:val="top"/>
          </w:tcPr>
          <w:p w14:paraId="0281435F">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5B8AB64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对民用无人驾驶航空器生产活动的监督检查</w:t>
            </w:r>
          </w:p>
        </w:tc>
        <w:tc>
          <w:tcPr>
            <w:tcW w:w="1800" w:type="dxa"/>
            <w:shd w:val="clear" w:color="auto" w:fill="auto"/>
            <w:vAlign w:val="center"/>
          </w:tcPr>
          <w:p w14:paraId="63497919">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民用无人驾驶航空器系统生产者</w:t>
            </w:r>
          </w:p>
        </w:tc>
        <w:tc>
          <w:tcPr>
            <w:tcW w:w="4786" w:type="dxa"/>
            <w:shd w:val="clear" w:color="auto" w:fill="auto"/>
            <w:vAlign w:val="center"/>
          </w:tcPr>
          <w:p w14:paraId="31CFFE42">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《无人驾驶航空器飞行管理暂行条例》</w:t>
            </w:r>
          </w:p>
          <w:p w14:paraId="701FE7C3">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《民用无人驾驶航空器生产管理若干规定》</w:t>
            </w:r>
          </w:p>
        </w:tc>
        <w:tc>
          <w:tcPr>
            <w:tcW w:w="1383" w:type="dxa"/>
            <w:shd w:val="clear" w:color="auto" w:fill="auto"/>
            <w:vAlign w:val="center"/>
          </w:tcPr>
          <w:p w14:paraId="159CA292">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0A4196FD">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376BE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890" w:hRule="atLeast"/>
        </w:trPr>
        <w:tc>
          <w:tcPr>
            <w:tcW w:w="790" w:type="dxa"/>
            <w:shd w:val="clear" w:color="auto" w:fill="auto"/>
            <w:vAlign w:val="center"/>
          </w:tcPr>
          <w:p w14:paraId="209CAFB0">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15</w:t>
            </w:r>
          </w:p>
        </w:tc>
        <w:tc>
          <w:tcPr>
            <w:tcW w:w="1670" w:type="dxa"/>
            <w:vMerge w:val="continue"/>
            <w:shd w:val="clear" w:color="auto" w:fill="auto"/>
            <w:vAlign w:val="top"/>
          </w:tcPr>
          <w:p w14:paraId="732C4157">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0CD8ED1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工业和信息化领域数据安全监督检查</w:t>
            </w:r>
          </w:p>
        </w:tc>
        <w:tc>
          <w:tcPr>
            <w:tcW w:w="1800" w:type="dxa"/>
            <w:shd w:val="clear" w:color="auto" w:fill="auto"/>
            <w:vAlign w:val="center"/>
          </w:tcPr>
          <w:p w14:paraId="3662425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工业和信息化领域数据处理者</w:t>
            </w:r>
          </w:p>
        </w:tc>
        <w:tc>
          <w:tcPr>
            <w:tcW w:w="4786" w:type="dxa"/>
            <w:shd w:val="clear" w:color="auto" w:fill="auto"/>
            <w:vAlign w:val="center"/>
          </w:tcPr>
          <w:p w14:paraId="0E415959">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《中华人民共和国数据安全法》</w:t>
            </w:r>
          </w:p>
        </w:tc>
        <w:tc>
          <w:tcPr>
            <w:tcW w:w="1383" w:type="dxa"/>
            <w:shd w:val="clear" w:color="auto" w:fill="auto"/>
            <w:vAlign w:val="center"/>
          </w:tcPr>
          <w:p w14:paraId="7D039671">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34F68347">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56992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904" w:hRule="atLeast"/>
        </w:trPr>
        <w:tc>
          <w:tcPr>
            <w:tcW w:w="790" w:type="dxa"/>
            <w:shd w:val="clear" w:color="auto" w:fill="auto"/>
            <w:vAlign w:val="center"/>
          </w:tcPr>
          <w:p w14:paraId="12007CEF">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16</w:t>
            </w:r>
          </w:p>
        </w:tc>
        <w:tc>
          <w:tcPr>
            <w:tcW w:w="1670" w:type="dxa"/>
            <w:vMerge w:val="continue"/>
            <w:shd w:val="clear" w:color="auto" w:fill="auto"/>
            <w:vAlign w:val="top"/>
          </w:tcPr>
          <w:p w14:paraId="65F47288">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4C57236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对生成式人工智能服务提供者落实安全主体责任的监督检查</w:t>
            </w:r>
          </w:p>
        </w:tc>
        <w:tc>
          <w:tcPr>
            <w:tcW w:w="1800" w:type="dxa"/>
            <w:shd w:val="clear" w:color="auto" w:fill="auto"/>
            <w:vAlign w:val="center"/>
          </w:tcPr>
          <w:p w14:paraId="7AEA6E7E">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生成式人工智能服务提供者</w:t>
            </w:r>
          </w:p>
        </w:tc>
        <w:tc>
          <w:tcPr>
            <w:tcW w:w="4786" w:type="dxa"/>
            <w:shd w:val="clear" w:color="auto" w:fill="auto"/>
            <w:vAlign w:val="center"/>
          </w:tcPr>
          <w:p w14:paraId="37873991">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《中华人民共和国数据安全法》</w:t>
            </w:r>
          </w:p>
          <w:p w14:paraId="0AC5A4C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《生成式人工智能服务管理暂行办法》</w:t>
            </w:r>
          </w:p>
        </w:tc>
        <w:tc>
          <w:tcPr>
            <w:tcW w:w="1383" w:type="dxa"/>
            <w:shd w:val="clear" w:color="auto" w:fill="auto"/>
            <w:vAlign w:val="center"/>
          </w:tcPr>
          <w:p w14:paraId="179CF572">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389AAB89">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78900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328" w:hRule="atLeast"/>
        </w:trPr>
        <w:tc>
          <w:tcPr>
            <w:tcW w:w="790" w:type="dxa"/>
            <w:shd w:val="clear" w:color="auto" w:fill="auto"/>
            <w:vAlign w:val="center"/>
          </w:tcPr>
          <w:p w14:paraId="70DAD154">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17</w:t>
            </w:r>
          </w:p>
        </w:tc>
        <w:tc>
          <w:tcPr>
            <w:tcW w:w="1670" w:type="dxa"/>
            <w:vMerge w:val="restart"/>
            <w:shd w:val="clear" w:color="auto" w:fill="auto"/>
            <w:vAlign w:val="center"/>
          </w:tcPr>
          <w:p w14:paraId="4E332B00">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济南市历下区民政局（2）</w:t>
            </w:r>
          </w:p>
        </w:tc>
        <w:tc>
          <w:tcPr>
            <w:tcW w:w="3210" w:type="dxa"/>
            <w:shd w:val="clear" w:color="auto" w:fill="auto"/>
            <w:vAlign w:val="center"/>
          </w:tcPr>
          <w:p w14:paraId="727DC8CE">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对地名命名、更名、使用、文化保护的监督检查</w:t>
            </w:r>
          </w:p>
        </w:tc>
        <w:tc>
          <w:tcPr>
            <w:tcW w:w="1800" w:type="dxa"/>
            <w:shd w:val="clear" w:color="auto" w:fill="auto"/>
            <w:vAlign w:val="center"/>
          </w:tcPr>
          <w:p w14:paraId="2D7B79DE">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公民、法人、其他组织</w:t>
            </w:r>
          </w:p>
        </w:tc>
        <w:tc>
          <w:tcPr>
            <w:tcW w:w="4786" w:type="dxa"/>
            <w:shd w:val="clear" w:color="auto" w:fill="auto"/>
            <w:vAlign w:val="center"/>
          </w:tcPr>
          <w:p w14:paraId="2CD272E7">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《地名管理条例》第二十九条</w:t>
            </w:r>
          </w:p>
        </w:tc>
        <w:tc>
          <w:tcPr>
            <w:tcW w:w="1383" w:type="dxa"/>
            <w:shd w:val="clear" w:color="auto" w:fill="auto"/>
            <w:vAlign w:val="center"/>
          </w:tcPr>
          <w:p w14:paraId="5BF3F146">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071B0BDE">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2A655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3382" w:hRule="atLeast"/>
        </w:trPr>
        <w:tc>
          <w:tcPr>
            <w:tcW w:w="790" w:type="dxa"/>
            <w:shd w:val="clear" w:color="auto" w:fill="auto"/>
            <w:vAlign w:val="center"/>
          </w:tcPr>
          <w:p w14:paraId="41166B95">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18</w:t>
            </w:r>
          </w:p>
        </w:tc>
        <w:tc>
          <w:tcPr>
            <w:tcW w:w="1670" w:type="dxa"/>
            <w:vMerge w:val="continue"/>
            <w:shd w:val="clear" w:color="auto" w:fill="auto"/>
            <w:vAlign w:val="center"/>
          </w:tcPr>
          <w:p w14:paraId="27D7BB30">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02FBB04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养老机构安全生产检查</w:t>
            </w:r>
          </w:p>
        </w:tc>
        <w:tc>
          <w:tcPr>
            <w:tcW w:w="1800" w:type="dxa"/>
            <w:shd w:val="clear" w:color="auto" w:fill="auto"/>
            <w:vAlign w:val="center"/>
          </w:tcPr>
          <w:p w14:paraId="5CF3D08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全区养老机构</w:t>
            </w:r>
          </w:p>
        </w:tc>
        <w:tc>
          <w:tcPr>
            <w:tcW w:w="4786" w:type="dxa"/>
            <w:shd w:val="clear" w:color="auto" w:fill="auto"/>
            <w:vAlign w:val="center"/>
          </w:tcPr>
          <w:p w14:paraId="0B6EC7A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《安全生产法》</w:t>
            </w:r>
          </w:p>
        </w:tc>
        <w:tc>
          <w:tcPr>
            <w:tcW w:w="1383" w:type="dxa"/>
            <w:shd w:val="clear" w:color="auto" w:fill="auto"/>
            <w:vAlign w:val="center"/>
          </w:tcPr>
          <w:p w14:paraId="5BE5EB7D">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75425273">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5BA10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60106692">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19</w:t>
            </w:r>
          </w:p>
        </w:tc>
        <w:tc>
          <w:tcPr>
            <w:tcW w:w="1670" w:type="dxa"/>
            <w:vMerge w:val="restart"/>
            <w:shd w:val="clear" w:color="auto" w:fill="auto"/>
            <w:vAlign w:val="center"/>
          </w:tcPr>
          <w:p w14:paraId="7B3FC55A">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济南市历下区司法局（5）</w:t>
            </w:r>
          </w:p>
        </w:tc>
        <w:tc>
          <w:tcPr>
            <w:tcW w:w="3210" w:type="dxa"/>
            <w:shd w:val="clear" w:color="auto" w:fill="auto"/>
            <w:vAlign w:val="center"/>
          </w:tcPr>
          <w:p w14:paraId="30D7E1A6">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公证机构及人员的监督检查</w:t>
            </w:r>
          </w:p>
        </w:tc>
        <w:tc>
          <w:tcPr>
            <w:tcW w:w="1800" w:type="dxa"/>
            <w:shd w:val="clear" w:color="auto" w:fill="auto"/>
            <w:vAlign w:val="center"/>
          </w:tcPr>
          <w:p w14:paraId="4AB05193">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公证机构</w:t>
            </w:r>
          </w:p>
        </w:tc>
        <w:tc>
          <w:tcPr>
            <w:tcW w:w="4786" w:type="dxa"/>
            <w:shd w:val="clear" w:color="auto" w:fill="auto"/>
            <w:vAlign w:val="center"/>
          </w:tcPr>
          <w:p w14:paraId="15F8CA3E">
            <w:pPr>
              <w:keepNext w:val="0"/>
              <w:keepLines w:val="0"/>
              <w:widowControl/>
              <w:suppressLineNumbers w:val="0"/>
              <w:jc w:val="both"/>
            </w:pPr>
            <w:r>
              <w:rPr>
                <w:rFonts w:ascii="仿宋_GB2312" w:hAnsi="仿宋_GB2312" w:eastAsia="仿宋_GB2312" w:cs="仿宋_GB2312"/>
                <w:b/>
                <w:bCs/>
                <w:snapToGrid w:val="0"/>
                <w:color w:val="000000"/>
                <w:kern w:val="0"/>
                <w:sz w:val="24"/>
                <w:szCs w:val="24"/>
                <w:lang w:val="en-US" w:eastAsia="zh-CN" w:bidi="ar"/>
              </w:rPr>
              <w:t>1.《公证机构执业管理办法》第二十四条、第二十六条、第三十三条、第三十四条；</w:t>
            </w:r>
          </w:p>
          <w:p w14:paraId="198AE7E4">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2.《公证员执业管理办法》第二十六条。</w:t>
            </w:r>
          </w:p>
        </w:tc>
        <w:tc>
          <w:tcPr>
            <w:tcW w:w="1383" w:type="dxa"/>
            <w:shd w:val="clear" w:color="auto" w:fill="auto"/>
            <w:vAlign w:val="center"/>
          </w:tcPr>
          <w:p w14:paraId="6BE4F53D">
            <w:pPr>
              <w:keepNext w:val="0"/>
              <w:keepLines w:val="0"/>
              <w:widowControl/>
              <w:suppressLineNumbers w:val="0"/>
              <w:jc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类型二</w:t>
            </w:r>
          </w:p>
        </w:tc>
        <w:tc>
          <w:tcPr>
            <w:tcW w:w="869" w:type="dxa"/>
            <w:shd w:val="clear" w:color="auto" w:fill="auto"/>
            <w:vAlign w:val="center"/>
          </w:tcPr>
          <w:p w14:paraId="789871F5">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1C2CD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2979CC29">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20</w:t>
            </w:r>
          </w:p>
        </w:tc>
        <w:tc>
          <w:tcPr>
            <w:tcW w:w="1670" w:type="dxa"/>
            <w:vMerge w:val="continue"/>
            <w:shd w:val="clear" w:color="auto" w:fill="auto"/>
            <w:vAlign w:val="center"/>
          </w:tcPr>
          <w:p w14:paraId="1AF29A73">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07BAAC84">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司法鉴定机构及人员的监督检查</w:t>
            </w:r>
          </w:p>
        </w:tc>
        <w:tc>
          <w:tcPr>
            <w:tcW w:w="1800" w:type="dxa"/>
            <w:shd w:val="clear" w:color="auto" w:fill="auto"/>
            <w:vAlign w:val="center"/>
          </w:tcPr>
          <w:p w14:paraId="65D58B2B">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司法鉴定机构</w:t>
            </w:r>
          </w:p>
        </w:tc>
        <w:tc>
          <w:tcPr>
            <w:tcW w:w="4786" w:type="dxa"/>
            <w:shd w:val="clear" w:color="auto" w:fill="auto"/>
            <w:vAlign w:val="center"/>
          </w:tcPr>
          <w:p w14:paraId="03000E35">
            <w:pPr>
              <w:keepNext w:val="0"/>
              <w:keepLines w:val="0"/>
              <w:widowControl/>
              <w:suppressLineNumbers w:val="0"/>
              <w:jc w:val="both"/>
            </w:pPr>
            <w:r>
              <w:rPr>
                <w:rFonts w:ascii="仿宋_GB2312" w:hAnsi="仿宋_GB2312" w:eastAsia="仿宋_GB2312" w:cs="仿宋_GB2312"/>
                <w:b/>
                <w:bCs/>
                <w:snapToGrid w:val="0"/>
                <w:color w:val="000000"/>
                <w:kern w:val="0"/>
                <w:sz w:val="24"/>
                <w:szCs w:val="24"/>
                <w:lang w:val="en-US" w:eastAsia="zh-CN" w:bidi="ar"/>
              </w:rPr>
              <w:t>1.《司法鉴定机构登记管理办法》第四条、第三十三条、第三十四条、第三十五条；</w:t>
            </w:r>
          </w:p>
          <w:p w14:paraId="5CFC9777">
            <w:pPr>
              <w:keepNext w:val="0"/>
              <w:keepLines w:val="0"/>
              <w:widowControl/>
              <w:suppressLineNumbers w:val="0"/>
              <w:jc w:val="both"/>
            </w:pPr>
            <w:r>
              <w:rPr>
                <w:rFonts w:ascii="仿宋_GB2312" w:hAnsi="仿宋_GB2312" w:eastAsia="仿宋_GB2312" w:cs="仿宋_GB2312"/>
                <w:b/>
                <w:bCs/>
                <w:snapToGrid w:val="0"/>
                <w:color w:val="000000"/>
                <w:kern w:val="0"/>
                <w:sz w:val="24"/>
                <w:szCs w:val="24"/>
                <w:lang w:val="en-US" w:eastAsia="zh-CN" w:bidi="ar"/>
              </w:rPr>
              <w:t>2.《司法鉴定人登记管理办法》第四条、第二十三条、第二十四条、第二十六条；</w:t>
            </w:r>
          </w:p>
          <w:p w14:paraId="30797529">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3.《山东省司法鉴定条例》第六条、第四十六条。</w:t>
            </w:r>
          </w:p>
        </w:tc>
        <w:tc>
          <w:tcPr>
            <w:tcW w:w="1383" w:type="dxa"/>
            <w:shd w:val="clear" w:color="auto" w:fill="auto"/>
            <w:vAlign w:val="center"/>
          </w:tcPr>
          <w:p w14:paraId="18F43CB9">
            <w:pPr>
              <w:keepNext w:val="0"/>
              <w:keepLines w:val="0"/>
              <w:widowControl/>
              <w:suppressLineNumbers w:val="0"/>
              <w:jc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类型二</w:t>
            </w:r>
          </w:p>
        </w:tc>
        <w:tc>
          <w:tcPr>
            <w:tcW w:w="869" w:type="dxa"/>
            <w:shd w:val="clear" w:color="auto" w:fill="auto"/>
            <w:vAlign w:val="center"/>
          </w:tcPr>
          <w:p w14:paraId="64EF90D1">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379EC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871" w:hRule="atLeast"/>
        </w:trPr>
        <w:tc>
          <w:tcPr>
            <w:tcW w:w="790" w:type="dxa"/>
            <w:shd w:val="clear" w:color="auto" w:fill="auto"/>
            <w:vAlign w:val="center"/>
          </w:tcPr>
          <w:p w14:paraId="7DFAA5D0">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21</w:t>
            </w:r>
          </w:p>
        </w:tc>
        <w:tc>
          <w:tcPr>
            <w:tcW w:w="1670" w:type="dxa"/>
            <w:vMerge w:val="continue"/>
            <w:shd w:val="clear" w:color="auto" w:fill="auto"/>
            <w:vAlign w:val="center"/>
          </w:tcPr>
          <w:p w14:paraId="64CF4C50">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24D407D7">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律师事务所及其律师的监督检查</w:t>
            </w:r>
          </w:p>
        </w:tc>
        <w:tc>
          <w:tcPr>
            <w:tcW w:w="1800" w:type="dxa"/>
            <w:shd w:val="clear" w:color="auto" w:fill="auto"/>
            <w:vAlign w:val="center"/>
          </w:tcPr>
          <w:p w14:paraId="031FB92D">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律师事务所</w:t>
            </w:r>
          </w:p>
        </w:tc>
        <w:tc>
          <w:tcPr>
            <w:tcW w:w="4786" w:type="dxa"/>
            <w:shd w:val="clear" w:color="auto" w:fill="auto"/>
            <w:vAlign w:val="center"/>
          </w:tcPr>
          <w:p w14:paraId="2760290D">
            <w:pPr>
              <w:keepNext w:val="0"/>
              <w:keepLines w:val="0"/>
              <w:widowControl/>
              <w:suppressLineNumbers w:val="0"/>
              <w:jc w:val="both"/>
            </w:pPr>
            <w:r>
              <w:rPr>
                <w:rFonts w:ascii="仿宋_GB2312" w:hAnsi="仿宋_GB2312" w:eastAsia="仿宋_GB2312" w:cs="仿宋_GB2312"/>
                <w:b/>
                <w:bCs/>
                <w:snapToGrid w:val="0"/>
                <w:color w:val="000000"/>
                <w:kern w:val="0"/>
                <w:sz w:val="24"/>
                <w:szCs w:val="24"/>
                <w:lang w:val="en-US" w:eastAsia="zh-CN" w:bidi="ar"/>
              </w:rPr>
              <w:t>1.《中华人民共和国律师法》第四条；</w:t>
            </w:r>
          </w:p>
          <w:p w14:paraId="33AACC80">
            <w:pPr>
              <w:keepNext w:val="0"/>
              <w:keepLines w:val="0"/>
              <w:widowControl/>
              <w:suppressLineNumbers w:val="0"/>
              <w:jc w:val="both"/>
            </w:pPr>
            <w:r>
              <w:rPr>
                <w:rFonts w:ascii="仿宋_GB2312" w:hAnsi="仿宋_GB2312" w:eastAsia="仿宋_GB2312" w:cs="仿宋_GB2312"/>
                <w:b/>
                <w:bCs/>
                <w:snapToGrid w:val="0"/>
                <w:color w:val="000000"/>
                <w:kern w:val="0"/>
                <w:sz w:val="24"/>
                <w:szCs w:val="24"/>
                <w:lang w:val="en-US" w:eastAsia="zh-CN" w:bidi="ar"/>
              </w:rPr>
              <w:t>2.《律师事务所管理办法》第五条第一款；</w:t>
            </w:r>
          </w:p>
          <w:p w14:paraId="427DB2D0">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3.《律师执业管理办法》第四条第一款。</w:t>
            </w:r>
          </w:p>
        </w:tc>
        <w:tc>
          <w:tcPr>
            <w:tcW w:w="1383" w:type="dxa"/>
            <w:shd w:val="clear" w:color="auto" w:fill="auto"/>
            <w:vAlign w:val="center"/>
          </w:tcPr>
          <w:p w14:paraId="7F4B1A03">
            <w:pPr>
              <w:keepNext w:val="0"/>
              <w:keepLines w:val="0"/>
              <w:widowControl/>
              <w:suppressLineNumbers w:val="0"/>
              <w:jc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类型一</w:t>
            </w:r>
          </w:p>
        </w:tc>
        <w:tc>
          <w:tcPr>
            <w:tcW w:w="869" w:type="dxa"/>
            <w:shd w:val="clear" w:color="auto" w:fill="auto"/>
            <w:vAlign w:val="center"/>
          </w:tcPr>
          <w:p w14:paraId="73545415">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20264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199" w:hRule="atLeast"/>
        </w:trPr>
        <w:tc>
          <w:tcPr>
            <w:tcW w:w="790" w:type="dxa"/>
            <w:shd w:val="clear" w:color="auto" w:fill="auto"/>
            <w:vAlign w:val="center"/>
          </w:tcPr>
          <w:p w14:paraId="5FD96334">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22</w:t>
            </w:r>
          </w:p>
        </w:tc>
        <w:tc>
          <w:tcPr>
            <w:tcW w:w="1670" w:type="dxa"/>
            <w:vMerge w:val="continue"/>
            <w:shd w:val="clear" w:color="auto" w:fill="auto"/>
            <w:vAlign w:val="center"/>
          </w:tcPr>
          <w:p w14:paraId="797EB41C">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6B287E98">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基层法律服务执业机构及人员的监督检查</w:t>
            </w:r>
          </w:p>
        </w:tc>
        <w:tc>
          <w:tcPr>
            <w:tcW w:w="1800" w:type="dxa"/>
            <w:shd w:val="clear" w:color="auto" w:fill="auto"/>
            <w:vAlign w:val="center"/>
          </w:tcPr>
          <w:p w14:paraId="055F0750">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基层法律服务机构</w:t>
            </w:r>
          </w:p>
        </w:tc>
        <w:tc>
          <w:tcPr>
            <w:tcW w:w="4786" w:type="dxa"/>
            <w:shd w:val="clear" w:color="auto" w:fill="auto"/>
            <w:vAlign w:val="center"/>
          </w:tcPr>
          <w:p w14:paraId="4A7A4BE7">
            <w:pPr>
              <w:keepNext w:val="0"/>
              <w:keepLines w:val="0"/>
              <w:widowControl/>
              <w:suppressLineNumbers w:val="0"/>
              <w:jc w:val="both"/>
            </w:pPr>
            <w:r>
              <w:rPr>
                <w:rFonts w:ascii="仿宋_GB2312" w:hAnsi="仿宋_GB2312" w:eastAsia="仿宋_GB2312" w:cs="仿宋_GB2312"/>
                <w:b/>
                <w:bCs/>
                <w:snapToGrid w:val="0"/>
                <w:color w:val="000000"/>
                <w:kern w:val="0"/>
                <w:sz w:val="24"/>
                <w:szCs w:val="24"/>
                <w:lang w:val="en-US" w:eastAsia="zh-CN" w:bidi="ar"/>
              </w:rPr>
              <w:t>1.《基层法律服务所管理办法》第三十四条；</w:t>
            </w:r>
          </w:p>
          <w:p w14:paraId="2298290A">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2.《基层法律服务工作者管理办法》第四十四条。</w:t>
            </w:r>
          </w:p>
        </w:tc>
        <w:tc>
          <w:tcPr>
            <w:tcW w:w="1383" w:type="dxa"/>
            <w:shd w:val="clear" w:color="auto" w:fill="auto"/>
            <w:vAlign w:val="center"/>
          </w:tcPr>
          <w:p w14:paraId="4A1412A9">
            <w:pPr>
              <w:keepNext w:val="0"/>
              <w:keepLines w:val="0"/>
              <w:widowControl/>
              <w:suppressLineNumbers w:val="0"/>
              <w:jc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类型一</w:t>
            </w:r>
          </w:p>
        </w:tc>
        <w:tc>
          <w:tcPr>
            <w:tcW w:w="869" w:type="dxa"/>
            <w:shd w:val="clear" w:color="auto" w:fill="auto"/>
            <w:vAlign w:val="center"/>
          </w:tcPr>
          <w:p w14:paraId="5EE12A51">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4976E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430DC8EF">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23</w:t>
            </w:r>
          </w:p>
        </w:tc>
        <w:tc>
          <w:tcPr>
            <w:tcW w:w="1670" w:type="dxa"/>
            <w:vMerge w:val="continue"/>
            <w:shd w:val="clear" w:color="auto" w:fill="auto"/>
            <w:vAlign w:val="center"/>
          </w:tcPr>
          <w:p w14:paraId="006BCF16">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004A3366">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对法治宣传教育规划实施的检查</w:t>
            </w:r>
          </w:p>
        </w:tc>
        <w:tc>
          <w:tcPr>
            <w:tcW w:w="1800" w:type="dxa"/>
            <w:shd w:val="clear" w:color="auto" w:fill="auto"/>
            <w:vAlign w:val="center"/>
          </w:tcPr>
          <w:p w14:paraId="550B5945">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企业</w:t>
            </w:r>
          </w:p>
        </w:tc>
        <w:tc>
          <w:tcPr>
            <w:tcW w:w="4786" w:type="dxa"/>
            <w:shd w:val="clear" w:color="auto" w:fill="auto"/>
            <w:vAlign w:val="center"/>
          </w:tcPr>
          <w:p w14:paraId="4C3D002D">
            <w:pPr>
              <w:keepNext w:val="0"/>
              <w:keepLines w:val="0"/>
              <w:widowControl/>
              <w:suppressLineNumbers w:val="0"/>
              <w:jc w:val="both"/>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《山东省法治宣传教育条例》第十一条。</w:t>
            </w:r>
          </w:p>
        </w:tc>
        <w:tc>
          <w:tcPr>
            <w:tcW w:w="1383" w:type="dxa"/>
            <w:shd w:val="clear" w:color="auto" w:fill="auto"/>
            <w:vAlign w:val="center"/>
          </w:tcPr>
          <w:p w14:paraId="44142DB8">
            <w:pPr>
              <w:keepNext w:val="0"/>
              <w:keepLines w:val="0"/>
              <w:widowControl/>
              <w:suppressLineNumbers w:val="0"/>
              <w:jc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ascii="仿宋_GB2312" w:hAnsi="仿宋_GB2312" w:eastAsia="仿宋_GB2312" w:cs="仿宋_GB2312"/>
                <w:b/>
                <w:bCs/>
                <w:snapToGrid w:val="0"/>
                <w:color w:val="000000"/>
                <w:kern w:val="0"/>
                <w:sz w:val="24"/>
                <w:szCs w:val="24"/>
                <w:lang w:val="en-US" w:eastAsia="zh-CN" w:bidi="ar"/>
              </w:rPr>
              <w:t>类型一</w:t>
            </w:r>
          </w:p>
        </w:tc>
        <w:tc>
          <w:tcPr>
            <w:tcW w:w="869" w:type="dxa"/>
            <w:shd w:val="clear" w:color="auto" w:fill="auto"/>
            <w:vAlign w:val="center"/>
          </w:tcPr>
          <w:p w14:paraId="002BEAA5">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752B9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836" w:hRule="atLeast"/>
        </w:trPr>
        <w:tc>
          <w:tcPr>
            <w:tcW w:w="790" w:type="dxa"/>
            <w:shd w:val="clear" w:color="auto" w:fill="auto"/>
            <w:vAlign w:val="center"/>
          </w:tcPr>
          <w:p w14:paraId="1F0327F7">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24</w:t>
            </w:r>
          </w:p>
        </w:tc>
        <w:tc>
          <w:tcPr>
            <w:tcW w:w="1670" w:type="dxa"/>
            <w:vMerge w:val="restart"/>
            <w:shd w:val="clear" w:color="auto" w:fill="auto"/>
            <w:vAlign w:val="center"/>
          </w:tcPr>
          <w:p w14:paraId="3CB64EBB">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济南历下区财政局（7）</w:t>
            </w:r>
          </w:p>
        </w:tc>
        <w:tc>
          <w:tcPr>
            <w:tcW w:w="3210" w:type="dxa"/>
            <w:shd w:val="clear" w:color="auto" w:fill="auto"/>
            <w:vAlign w:val="center"/>
          </w:tcPr>
          <w:p w14:paraId="669762F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对小额贷款公司的监督检查</w:t>
            </w:r>
          </w:p>
        </w:tc>
        <w:tc>
          <w:tcPr>
            <w:tcW w:w="1800" w:type="dxa"/>
            <w:shd w:val="clear" w:color="auto" w:fill="auto"/>
            <w:vAlign w:val="center"/>
          </w:tcPr>
          <w:p w14:paraId="6A81B133">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取得经营许可证的小额贷款公司</w:t>
            </w:r>
          </w:p>
        </w:tc>
        <w:tc>
          <w:tcPr>
            <w:tcW w:w="4786" w:type="dxa"/>
            <w:shd w:val="clear" w:color="auto" w:fill="auto"/>
            <w:vAlign w:val="center"/>
          </w:tcPr>
          <w:p w14:paraId="45BB0EF3">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1.《山东省地方金融条例》第五条、第四十一条;</w:t>
            </w:r>
            <w:r>
              <w:rPr>
                <w:rFonts w:hint="eastAsia" w:ascii="仿宋_GB2312" w:hAnsi="宋体" w:eastAsia="仿宋_GB2312" w:cs="仿宋_GB2312"/>
                <w:b/>
                <w:bCs/>
                <w:i w:val="0"/>
                <w:iCs w:val="0"/>
                <w:snapToGrid/>
                <w:color w:val="000000"/>
                <w:kern w:val="0"/>
                <w:sz w:val="24"/>
                <w:szCs w:val="24"/>
                <w:u w:val="none"/>
                <w:lang w:val="en-US" w:eastAsia="zh-CN" w:bidi="ar"/>
              </w:rPr>
              <w:br w:type="textWrapping"/>
            </w:r>
            <w:r>
              <w:rPr>
                <w:rFonts w:hint="eastAsia" w:ascii="仿宋_GB2312" w:hAnsi="宋体" w:eastAsia="仿宋_GB2312" w:cs="仿宋_GB2312"/>
                <w:b/>
                <w:bCs/>
                <w:i w:val="0"/>
                <w:iCs w:val="0"/>
                <w:snapToGrid/>
                <w:color w:val="000000"/>
                <w:kern w:val="0"/>
                <w:sz w:val="24"/>
                <w:szCs w:val="24"/>
                <w:u w:val="none"/>
                <w:lang w:val="en-US" w:eastAsia="zh-CN" w:bidi="ar"/>
              </w:rPr>
              <w:t>2.《小额贷款公司监督管理暂行办法》第六条。</w:t>
            </w:r>
          </w:p>
        </w:tc>
        <w:tc>
          <w:tcPr>
            <w:tcW w:w="1383" w:type="dxa"/>
            <w:shd w:val="clear" w:color="auto" w:fill="auto"/>
            <w:vAlign w:val="center"/>
          </w:tcPr>
          <w:p w14:paraId="09776800">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2A86EA04">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7DDEF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447" w:hRule="atLeast"/>
        </w:trPr>
        <w:tc>
          <w:tcPr>
            <w:tcW w:w="790" w:type="dxa"/>
            <w:shd w:val="clear" w:color="auto" w:fill="auto"/>
            <w:vAlign w:val="center"/>
          </w:tcPr>
          <w:p w14:paraId="046C7E28">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25</w:t>
            </w:r>
          </w:p>
        </w:tc>
        <w:tc>
          <w:tcPr>
            <w:tcW w:w="1670" w:type="dxa"/>
            <w:vMerge w:val="continue"/>
          </w:tcPr>
          <w:p w14:paraId="365743C3">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556819C3">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对融资担保公司的监督检查</w:t>
            </w:r>
          </w:p>
        </w:tc>
        <w:tc>
          <w:tcPr>
            <w:tcW w:w="1800" w:type="dxa"/>
            <w:shd w:val="clear" w:color="auto" w:fill="auto"/>
            <w:vAlign w:val="center"/>
          </w:tcPr>
          <w:p w14:paraId="2A112B9A">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取得经营许可证的融资担保公司</w:t>
            </w:r>
          </w:p>
        </w:tc>
        <w:tc>
          <w:tcPr>
            <w:tcW w:w="4786" w:type="dxa"/>
            <w:shd w:val="clear" w:color="auto" w:fill="auto"/>
            <w:vAlign w:val="center"/>
          </w:tcPr>
          <w:p w14:paraId="7E818E8E">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1.《融资担保公司监督管理条例》第二十四条、第二十五条、第二十八条、第二十九条;</w:t>
            </w:r>
            <w:r>
              <w:rPr>
                <w:rFonts w:hint="eastAsia" w:ascii="仿宋_GB2312" w:hAnsi="宋体" w:eastAsia="仿宋_GB2312" w:cs="仿宋_GB2312"/>
                <w:b/>
                <w:bCs/>
                <w:i w:val="0"/>
                <w:iCs w:val="0"/>
                <w:snapToGrid/>
                <w:color w:val="000000"/>
                <w:kern w:val="0"/>
                <w:sz w:val="24"/>
                <w:szCs w:val="24"/>
                <w:u w:val="none"/>
                <w:lang w:val="en-US" w:eastAsia="zh-CN" w:bidi="ar"/>
              </w:rPr>
              <w:br w:type="textWrapping"/>
            </w:r>
            <w:r>
              <w:rPr>
                <w:rFonts w:hint="eastAsia" w:ascii="仿宋_GB2312" w:hAnsi="宋体" w:eastAsia="仿宋_GB2312" w:cs="仿宋_GB2312"/>
                <w:b/>
                <w:bCs/>
                <w:i w:val="0"/>
                <w:iCs w:val="0"/>
                <w:snapToGrid/>
                <w:color w:val="000000"/>
                <w:kern w:val="0"/>
                <w:sz w:val="24"/>
                <w:szCs w:val="24"/>
                <w:u w:val="none"/>
                <w:lang w:val="en-US" w:eastAsia="zh-CN" w:bidi="ar"/>
              </w:rPr>
              <w:t>2.《山东省地方金融条例》第五条、第四十一条。</w:t>
            </w:r>
          </w:p>
        </w:tc>
        <w:tc>
          <w:tcPr>
            <w:tcW w:w="1383" w:type="dxa"/>
            <w:shd w:val="clear" w:color="auto" w:fill="auto"/>
            <w:vAlign w:val="center"/>
          </w:tcPr>
          <w:p w14:paraId="69359506">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6B30D3C7">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67180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762" w:hRule="atLeast"/>
        </w:trPr>
        <w:tc>
          <w:tcPr>
            <w:tcW w:w="790" w:type="dxa"/>
            <w:shd w:val="clear" w:color="auto" w:fill="auto"/>
            <w:vAlign w:val="center"/>
          </w:tcPr>
          <w:p w14:paraId="404BEC3B">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26</w:t>
            </w:r>
          </w:p>
        </w:tc>
        <w:tc>
          <w:tcPr>
            <w:tcW w:w="1670" w:type="dxa"/>
            <w:vMerge w:val="continue"/>
          </w:tcPr>
          <w:p w14:paraId="6FDC39BC">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7184DE1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对典当行的监督检查</w:t>
            </w:r>
          </w:p>
        </w:tc>
        <w:tc>
          <w:tcPr>
            <w:tcW w:w="1800" w:type="dxa"/>
            <w:shd w:val="clear" w:color="auto" w:fill="auto"/>
            <w:vAlign w:val="center"/>
          </w:tcPr>
          <w:p w14:paraId="0AFEA07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取得经营许可证的典当行</w:t>
            </w:r>
          </w:p>
        </w:tc>
        <w:tc>
          <w:tcPr>
            <w:tcW w:w="4786" w:type="dxa"/>
            <w:shd w:val="clear" w:color="auto" w:fill="auto"/>
            <w:vAlign w:val="center"/>
          </w:tcPr>
          <w:p w14:paraId="1831C799">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1.《典当管理办法》第五十四条;</w:t>
            </w:r>
            <w:r>
              <w:rPr>
                <w:rFonts w:hint="eastAsia" w:ascii="仿宋_GB2312" w:hAnsi="宋体" w:eastAsia="仿宋_GB2312" w:cs="仿宋_GB2312"/>
                <w:b/>
                <w:bCs/>
                <w:i w:val="0"/>
                <w:iCs w:val="0"/>
                <w:snapToGrid/>
                <w:color w:val="000000"/>
                <w:kern w:val="0"/>
                <w:sz w:val="24"/>
                <w:szCs w:val="24"/>
                <w:u w:val="none"/>
                <w:lang w:val="en-US" w:eastAsia="zh-CN" w:bidi="ar"/>
              </w:rPr>
              <w:br w:type="textWrapping"/>
            </w:r>
            <w:r>
              <w:rPr>
                <w:rFonts w:hint="eastAsia" w:ascii="仿宋_GB2312" w:hAnsi="宋体" w:eastAsia="仿宋_GB2312" w:cs="仿宋_GB2312"/>
                <w:b/>
                <w:bCs/>
                <w:i w:val="0"/>
                <w:iCs w:val="0"/>
                <w:snapToGrid/>
                <w:color w:val="000000"/>
                <w:kern w:val="0"/>
                <w:sz w:val="24"/>
                <w:szCs w:val="24"/>
                <w:u w:val="none"/>
                <w:lang w:val="en-US" w:eastAsia="zh-CN" w:bidi="ar"/>
              </w:rPr>
              <w:t>2.《中国银保监会办公厅关于加强典当行监督管理的通知》第十三条。</w:t>
            </w:r>
          </w:p>
        </w:tc>
        <w:tc>
          <w:tcPr>
            <w:tcW w:w="1383" w:type="dxa"/>
            <w:shd w:val="clear" w:color="auto" w:fill="auto"/>
            <w:vAlign w:val="center"/>
          </w:tcPr>
          <w:p w14:paraId="77E7E02A">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0E4E8876">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63A80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887" w:hRule="atLeast"/>
        </w:trPr>
        <w:tc>
          <w:tcPr>
            <w:tcW w:w="790" w:type="dxa"/>
            <w:shd w:val="clear" w:color="auto" w:fill="auto"/>
            <w:vAlign w:val="center"/>
          </w:tcPr>
          <w:p w14:paraId="7D0785E4">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27</w:t>
            </w:r>
          </w:p>
        </w:tc>
        <w:tc>
          <w:tcPr>
            <w:tcW w:w="1670" w:type="dxa"/>
            <w:vMerge w:val="continue"/>
          </w:tcPr>
          <w:p w14:paraId="4A8A8F80">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01C4E2B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对交易场所开展权益类交易或者介于现货与期货之间的大宗商品交易业务的监督检查</w:t>
            </w:r>
          </w:p>
        </w:tc>
        <w:tc>
          <w:tcPr>
            <w:tcW w:w="1800" w:type="dxa"/>
            <w:shd w:val="clear" w:color="auto" w:fill="auto"/>
            <w:vAlign w:val="center"/>
          </w:tcPr>
          <w:p w14:paraId="05DEE86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取得经营许可证的交易场所</w:t>
            </w:r>
          </w:p>
        </w:tc>
        <w:tc>
          <w:tcPr>
            <w:tcW w:w="4786" w:type="dxa"/>
            <w:shd w:val="clear" w:color="auto" w:fill="auto"/>
            <w:vAlign w:val="center"/>
          </w:tcPr>
          <w:p w14:paraId="479C653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1.《山东省地方金融条例》第五条、第四十一条;</w:t>
            </w:r>
            <w:r>
              <w:rPr>
                <w:rFonts w:hint="eastAsia" w:ascii="仿宋_GB2312" w:hAnsi="宋体" w:eastAsia="仿宋_GB2312" w:cs="仿宋_GB2312"/>
                <w:b/>
                <w:bCs/>
                <w:i w:val="0"/>
                <w:iCs w:val="0"/>
                <w:snapToGrid/>
                <w:color w:val="000000"/>
                <w:kern w:val="0"/>
                <w:sz w:val="24"/>
                <w:szCs w:val="24"/>
                <w:u w:val="none"/>
                <w:lang w:val="en-US" w:eastAsia="zh-CN" w:bidi="ar"/>
              </w:rPr>
              <w:br w:type="textWrapping"/>
            </w:r>
            <w:r>
              <w:rPr>
                <w:rFonts w:hint="eastAsia" w:ascii="仿宋_GB2312" w:hAnsi="宋体" w:eastAsia="仿宋_GB2312" w:cs="仿宋_GB2312"/>
                <w:b/>
                <w:bCs/>
                <w:i w:val="0"/>
                <w:iCs w:val="0"/>
                <w:snapToGrid/>
                <w:color w:val="000000"/>
                <w:kern w:val="0"/>
                <w:sz w:val="24"/>
                <w:szCs w:val="24"/>
                <w:u w:val="none"/>
                <w:lang w:val="en-US" w:eastAsia="zh-CN" w:bidi="ar"/>
              </w:rPr>
              <w:t>2.《山东省交易场所监督管理办法》第四十五条。</w:t>
            </w:r>
          </w:p>
        </w:tc>
        <w:tc>
          <w:tcPr>
            <w:tcW w:w="1383" w:type="dxa"/>
            <w:shd w:val="clear" w:color="auto" w:fill="auto"/>
            <w:vAlign w:val="center"/>
          </w:tcPr>
          <w:p w14:paraId="209E77A8">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5BA5C9D9">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4C93A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49" w:hRule="atLeast"/>
        </w:trPr>
        <w:tc>
          <w:tcPr>
            <w:tcW w:w="790" w:type="dxa"/>
            <w:shd w:val="clear" w:color="auto" w:fill="auto"/>
            <w:vAlign w:val="center"/>
          </w:tcPr>
          <w:p w14:paraId="6968A7C2">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28</w:t>
            </w:r>
          </w:p>
        </w:tc>
        <w:tc>
          <w:tcPr>
            <w:tcW w:w="1670" w:type="dxa"/>
            <w:vMerge w:val="continue"/>
          </w:tcPr>
          <w:p w14:paraId="55A19986">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4F6A1E6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对民间融资机构开展民间资本管理业务和民间融资登记服务业务的监督检查</w:t>
            </w:r>
          </w:p>
        </w:tc>
        <w:tc>
          <w:tcPr>
            <w:tcW w:w="1800" w:type="dxa"/>
            <w:shd w:val="clear" w:color="auto" w:fill="auto"/>
            <w:vAlign w:val="center"/>
          </w:tcPr>
          <w:p w14:paraId="3E3E50F3">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取得经营许可证的民间融资机构</w:t>
            </w:r>
          </w:p>
        </w:tc>
        <w:tc>
          <w:tcPr>
            <w:tcW w:w="4786" w:type="dxa"/>
            <w:shd w:val="clear" w:color="auto" w:fill="auto"/>
            <w:vAlign w:val="center"/>
          </w:tcPr>
          <w:p w14:paraId="1A56FA9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1.《山东省地方金融条例》第五条、第四十一条;</w:t>
            </w:r>
            <w:r>
              <w:rPr>
                <w:rFonts w:hint="eastAsia" w:ascii="仿宋_GB2312" w:hAnsi="宋体" w:eastAsia="仿宋_GB2312" w:cs="仿宋_GB2312"/>
                <w:b/>
                <w:bCs/>
                <w:i w:val="0"/>
                <w:iCs w:val="0"/>
                <w:snapToGrid/>
                <w:color w:val="000000"/>
                <w:kern w:val="0"/>
                <w:sz w:val="24"/>
                <w:szCs w:val="24"/>
                <w:u w:val="none"/>
                <w:lang w:val="en-US" w:eastAsia="zh-CN" w:bidi="ar"/>
              </w:rPr>
              <w:br w:type="textWrapping"/>
            </w:r>
            <w:r>
              <w:rPr>
                <w:rFonts w:hint="eastAsia" w:ascii="仿宋_GB2312" w:hAnsi="宋体" w:eastAsia="仿宋_GB2312" w:cs="仿宋_GB2312"/>
                <w:b/>
                <w:bCs/>
                <w:i w:val="0"/>
                <w:iCs w:val="0"/>
                <w:snapToGrid/>
                <w:color w:val="000000"/>
                <w:kern w:val="0"/>
                <w:sz w:val="24"/>
                <w:szCs w:val="24"/>
                <w:u w:val="none"/>
                <w:lang w:val="en-US" w:eastAsia="zh-CN" w:bidi="ar"/>
              </w:rPr>
              <w:t>2.《山东省民间融资机构监督管理办法》第四十一条、第四十二条。</w:t>
            </w:r>
          </w:p>
        </w:tc>
        <w:tc>
          <w:tcPr>
            <w:tcW w:w="1383" w:type="dxa"/>
            <w:shd w:val="clear" w:color="auto" w:fill="auto"/>
            <w:vAlign w:val="center"/>
          </w:tcPr>
          <w:p w14:paraId="27E9A0F4">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24B46886">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0637C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024" w:hRule="atLeast"/>
        </w:trPr>
        <w:tc>
          <w:tcPr>
            <w:tcW w:w="790" w:type="dxa"/>
            <w:shd w:val="clear" w:color="auto" w:fill="auto"/>
            <w:vAlign w:val="center"/>
          </w:tcPr>
          <w:p w14:paraId="6F919B28">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29</w:t>
            </w:r>
          </w:p>
        </w:tc>
        <w:tc>
          <w:tcPr>
            <w:tcW w:w="1670" w:type="dxa"/>
            <w:vMerge w:val="continue"/>
          </w:tcPr>
          <w:p w14:paraId="24AA4426">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642336A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对监管名单内融资租赁企业的监督检查</w:t>
            </w:r>
          </w:p>
        </w:tc>
        <w:tc>
          <w:tcPr>
            <w:tcW w:w="1800" w:type="dxa"/>
            <w:shd w:val="clear" w:color="auto" w:fill="auto"/>
            <w:vAlign w:val="center"/>
          </w:tcPr>
          <w:p w14:paraId="790CC44E">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纳入监管名单内的融资租赁企业</w:t>
            </w:r>
          </w:p>
        </w:tc>
        <w:tc>
          <w:tcPr>
            <w:tcW w:w="4786" w:type="dxa"/>
            <w:shd w:val="clear" w:color="auto" w:fill="auto"/>
            <w:vAlign w:val="center"/>
          </w:tcPr>
          <w:p w14:paraId="5706772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《中国银保监会关于印发融资租赁公司监督管理暂行办法的通知》第三十四条。</w:t>
            </w:r>
          </w:p>
        </w:tc>
        <w:tc>
          <w:tcPr>
            <w:tcW w:w="1383" w:type="dxa"/>
            <w:shd w:val="clear" w:color="auto" w:fill="auto"/>
            <w:vAlign w:val="center"/>
          </w:tcPr>
          <w:p w14:paraId="47152922">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1BB83765">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259FB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3108" w:hRule="atLeast"/>
        </w:trPr>
        <w:tc>
          <w:tcPr>
            <w:tcW w:w="790" w:type="dxa"/>
            <w:shd w:val="clear" w:color="auto" w:fill="auto"/>
            <w:vAlign w:val="top"/>
          </w:tcPr>
          <w:p w14:paraId="64E66D2A">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30</w:t>
            </w:r>
          </w:p>
        </w:tc>
        <w:tc>
          <w:tcPr>
            <w:tcW w:w="1670" w:type="dxa"/>
            <w:vMerge w:val="continue"/>
          </w:tcPr>
          <w:p w14:paraId="6E2E11BA">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6406334F">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对监管名单内商业保理企业的监督检查</w:t>
            </w:r>
          </w:p>
        </w:tc>
        <w:tc>
          <w:tcPr>
            <w:tcW w:w="1800" w:type="dxa"/>
            <w:shd w:val="clear" w:color="auto" w:fill="auto"/>
            <w:vAlign w:val="center"/>
          </w:tcPr>
          <w:p w14:paraId="3E51D38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纳入监管名单内的商业保理企业</w:t>
            </w:r>
          </w:p>
        </w:tc>
        <w:tc>
          <w:tcPr>
            <w:tcW w:w="4786" w:type="dxa"/>
            <w:shd w:val="clear" w:color="auto" w:fill="auto"/>
            <w:vAlign w:val="center"/>
          </w:tcPr>
          <w:p w14:paraId="15084933">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《中国银保监会办公厅关于加强商业保理企业监督管理的通知》第十条。</w:t>
            </w:r>
          </w:p>
        </w:tc>
        <w:tc>
          <w:tcPr>
            <w:tcW w:w="1383" w:type="dxa"/>
            <w:shd w:val="clear" w:color="auto" w:fill="auto"/>
            <w:vAlign w:val="center"/>
          </w:tcPr>
          <w:p w14:paraId="5355918E">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top"/>
          </w:tcPr>
          <w:p w14:paraId="7BE3406A">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7AF07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511" w:hRule="atLeast"/>
        </w:trPr>
        <w:tc>
          <w:tcPr>
            <w:tcW w:w="790" w:type="dxa"/>
            <w:shd w:val="clear" w:color="auto" w:fill="auto"/>
            <w:vAlign w:val="center"/>
          </w:tcPr>
          <w:p w14:paraId="0B192612">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31</w:t>
            </w:r>
          </w:p>
        </w:tc>
        <w:tc>
          <w:tcPr>
            <w:tcW w:w="1670" w:type="dxa"/>
            <w:vMerge w:val="restart"/>
            <w:shd w:val="clear" w:color="auto" w:fill="auto"/>
            <w:vAlign w:val="center"/>
          </w:tcPr>
          <w:p w14:paraId="3B3CB64B">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济南市历下区城市管理局（7）</w:t>
            </w:r>
          </w:p>
        </w:tc>
        <w:tc>
          <w:tcPr>
            <w:tcW w:w="3210" w:type="dxa"/>
            <w:shd w:val="clear" w:color="auto" w:fill="auto"/>
            <w:vAlign w:val="center"/>
          </w:tcPr>
          <w:p w14:paraId="5D305ED2">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对供热行业的监督检查</w:t>
            </w:r>
          </w:p>
        </w:tc>
        <w:tc>
          <w:tcPr>
            <w:tcW w:w="1800" w:type="dxa"/>
            <w:shd w:val="clear" w:color="auto" w:fill="auto"/>
            <w:vAlign w:val="center"/>
          </w:tcPr>
          <w:p w14:paraId="7FF55A6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vAlign w:val="center"/>
          </w:tcPr>
          <w:p w14:paraId="1FE3A1B2">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《山东省供热条例》</w:t>
            </w:r>
          </w:p>
        </w:tc>
        <w:tc>
          <w:tcPr>
            <w:tcW w:w="1383" w:type="dxa"/>
            <w:shd w:val="clear" w:color="auto" w:fill="auto"/>
            <w:vAlign w:val="center"/>
          </w:tcPr>
          <w:p w14:paraId="7A393350">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7AEF7DAD">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3C009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612" w:hRule="atLeast"/>
        </w:trPr>
        <w:tc>
          <w:tcPr>
            <w:tcW w:w="790" w:type="dxa"/>
            <w:shd w:val="clear" w:color="auto" w:fill="auto"/>
            <w:vAlign w:val="center"/>
          </w:tcPr>
          <w:p w14:paraId="43B24D01">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32</w:t>
            </w:r>
          </w:p>
        </w:tc>
        <w:tc>
          <w:tcPr>
            <w:tcW w:w="1670" w:type="dxa"/>
            <w:vMerge w:val="continue"/>
            <w:shd w:val="clear" w:color="auto" w:fill="auto"/>
            <w:vAlign w:val="center"/>
          </w:tcPr>
          <w:p w14:paraId="2D8CA99F">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7C10503F">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对树木花草病虫害及其他自然灾害防治的监督检查</w:t>
            </w:r>
          </w:p>
        </w:tc>
        <w:tc>
          <w:tcPr>
            <w:tcW w:w="1800" w:type="dxa"/>
            <w:shd w:val="clear" w:color="auto" w:fill="auto"/>
            <w:vAlign w:val="center"/>
          </w:tcPr>
          <w:p w14:paraId="03BC12E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vAlign w:val="center"/>
          </w:tcPr>
          <w:p w14:paraId="7796D4E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《山东省城市绿化管理办法》</w:t>
            </w:r>
          </w:p>
        </w:tc>
        <w:tc>
          <w:tcPr>
            <w:tcW w:w="1383" w:type="dxa"/>
            <w:shd w:val="clear" w:color="auto" w:fill="auto"/>
            <w:vAlign w:val="center"/>
          </w:tcPr>
          <w:p w14:paraId="05251584">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4C04D938">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52ED1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474" w:hRule="atLeast"/>
        </w:trPr>
        <w:tc>
          <w:tcPr>
            <w:tcW w:w="790" w:type="dxa"/>
            <w:shd w:val="clear" w:color="auto" w:fill="auto"/>
            <w:vAlign w:val="center"/>
          </w:tcPr>
          <w:p w14:paraId="62D587EF">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33</w:t>
            </w:r>
          </w:p>
        </w:tc>
        <w:tc>
          <w:tcPr>
            <w:tcW w:w="1670" w:type="dxa"/>
            <w:vMerge w:val="continue"/>
            <w:shd w:val="clear" w:color="auto" w:fill="auto"/>
            <w:vAlign w:val="center"/>
          </w:tcPr>
          <w:p w14:paraId="3119AD7C">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2CB535B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对园林绿化工程建设的监督检查</w:t>
            </w:r>
          </w:p>
        </w:tc>
        <w:tc>
          <w:tcPr>
            <w:tcW w:w="1800" w:type="dxa"/>
            <w:shd w:val="clear" w:color="auto" w:fill="auto"/>
            <w:vAlign w:val="center"/>
          </w:tcPr>
          <w:p w14:paraId="59018ACF">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vAlign w:val="center"/>
          </w:tcPr>
          <w:p w14:paraId="49E81EC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《园林绿化工程建设管理规定》</w:t>
            </w:r>
          </w:p>
        </w:tc>
        <w:tc>
          <w:tcPr>
            <w:tcW w:w="1383" w:type="dxa"/>
            <w:shd w:val="clear" w:color="auto" w:fill="auto"/>
            <w:vAlign w:val="center"/>
          </w:tcPr>
          <w:p w14:paraId="4D27387B">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5EB10E93">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08D2D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0FF7A002">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34</w:t>
            </w:r>
          </w:p>
        </w:tc>
        <w:tc>
          <w:tcPr>
            <w:tcW w:w="1670" w:type="dxa"/>
            <w:vMerge w:val="continue"/>
            <w:shd w:val="clear" w:color="auto" w:fill="auto"/>
            <w:vAlign w:val="center"/>
          </w:tcPr>
          <w:p w14:paraId="1806558E">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7211C3B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对从事城市生活垃圾经营性清扫和对从事城市生活废弃物（含餐厨废弃物）经营性清扫、收集、运输、处理企业的监督管理</w:t>
            </w:r>
          </w:p>
        </w:tc>
        <w:tc>
          <w:tcPr>
            <w:tcW w:w="1800" w:type="dxa"/>
            <w:shd w:val="clear" w:color="auto" w:fill="auto"/>
            <w:vAlign w:val="center"/>
          </w:tcPr>
          <w:p w14:paraId="1E4E683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生活垃圾经营性清扫、收集、运输处理企业</w:t>
            </w:r>
          </w:p>
        </w:tc>
        <w:tc>
          <w:tcPr>
            <w:tcW w:w="4786" w:type="dxa"/>
            <w:shd w:val="clear" w:color="auto" w:fill="auto"/>
            <w:vAlign w:val="center"/>
          </w:tcPr>
          <w:p w14:paraId="6125B32E">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1.《国务院对确需保留的行政审批项目设定行政许可的决定》第102项;</w:t>
            </w:r>
          </w:p>
          <w:p w14:paraId="077DC5A9">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2.《山东省人民政府办公厅关于深化相对集中行政许可权改革规范市县级行政审批服务工作的意见》附件第48项;</w:t>
            </w:r>
          </w:p>
          <w:p w14:paraId="71C1E4C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3.《城市生活垃圾管理办法》第十七条，第十八条，第二十五条;</w:t>
            </w:r>
          </w:p>
          <w:p w14:paraId="750A00D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4.《济南市行政审批与监督管理协同联动规定》第五条。</w:t>
            </w:r>
          </w:p>
        </w:tc>
        <w:tc>
          <w:tcPr>
            <w:tcW w:w="1383" w:type="dxa"/>
            <w:shd w:val="clear" w:color="auto" w:fill="auto"/>
            <w:vAlign w:val="center"/>
          </w:tcPr>
          <w:p w14:paraId="6E92286A">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23BEA4B6">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5DB1B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229" w:hRule="atLeast"/>
        </w:trPr>
        <w:tc>
          <w:tcPr>
            <w:tcW w:w="790" w:type="dxa"/>
            <w:shd w:val="clear" w:color="auto" w:fill="auto"/>
            <w:vAlign w:val="center"/>
          </w:tcPr>
          <w:p w14:paraId="5141EBAD">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35</w:t>
            </w:r>
          </w:p>
        </w:tc>
        <w:tc>
          <w:tcPr>
            <w:tcW w:w="1670" w:type="dxa"/>
            <w:vMerge w:val="continue"/>
            <w:shd w:val="clear" w:color="auto" w:fill="auto"/>
            <w:vAlign w:val="center"/>
          </w:tcPr>
          <w:p w14:paraId="73158F03">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551175E6">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城市容貌维护监督检查</w:t>
            </w:r>
          </w:p>
        </w:tc>
        <w:tc>
          <w:tcPr>
            <w:tcW w:w="1800" w:type="dxa"/>
            <w:shd w:val="clear" w:color="auto" w:fill="auto"/>
            <w:vAlign w:val="center"/>
          </w:tcPr>
          <w:p w14:paraId="046D5ED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vAlign w:val="center"/>
          </w:tcPr>
          <w:p w14:paraId="7535BF54">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《济南市城市市容管理条例》第五条，第十条，第十一条，第十二条，第五十二条。</w:t>
            </w:r>
          </w:p>
        </w:tc>
        <w:tc>
          <w:tcPr>
            <w:tcW w:w="1383" w:type="dxa"/>
            <w:shd w:val="clear" w:color="auto" w:fill="auto"/>
            <w:vAlign w:val="center"/>
          </w:tcPr>
          <w:p w14:paraId="57C8CE39">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0D245840">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4A6E4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482" w:hRule="atLeast"/>
        </w:trPr>
        <w:tc>
          <w:tcPr>
            <w:tcW w:w="790" w:type="dxa"/>
            <w:shd w:val="clear" w:color="auto" w:fill="auto"/>
            <w:vAlign w:val="center"/>
          </w:tcPr>
          <w:p w14:paraId="3DD9B7D4">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36</w:t>
            </w:r>
          </w:p>
        </w:tc>
        <w:tc>
          <w:tcPr>
            <w:tcW w:w="1670" w:type="dxa"/>
            <w:vMerge w:val="continue"/>
            <w:shd w:val="clear" w:color="auto" w:fill="auto"/>
            <w:vAlign w:val="center"/>
          </w:tcPr>
          <w:p w14:paraId="301E5C0B">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7FE2748A">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对城市照明的监督检查</w:t>
            </w:r>
          </w:p>
        </w:tc>
        <w:tc>
          <w:tcPr>
            <w:tcW w:w="1800" w:type="dxa"/>
            <w:shd w:val="clear" w:color="auto" w:fill="auto"/>
            <w:vAlign w:val="center"/>
          </w:tcPr>
          <w:p w14:paraId="2C399C92">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vAlign w:val="center"/>
          </w:tcPr>
          <w:p w14:paraId="0FB88B3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《城市照明管理规定》第四条，第二十一条。</w:t>
            </w:r>
          </w:p>
        </w:tc>
        <w:tc>
          <w:tcPr>
            <w:tcW w:w="1383" w:type="dxa"/>
            <w:shd w:val="clear" w:color="auto" w:fill="auto"/>
            <w:vAlign w:val="center"/>
          </w:tcPr>
          <w:p w14:paraId="5DDC676E">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106C0350">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46853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957" w:hRule="atLeast"/>
        </w:trPr>
        <w:tc>
          <w:tcPr>
            <w:tcW w:w="790" w:type="dxa"/>
            <w:shd w:val="clear" w:color="auto" w:fill="auto"/>
            <w:vAlign w:val="center"/>
          </w:tcPr>
          <w:p w14:paraId="1B913940">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37</w:t>
            </w:r>
          </w:p>
        </w:tc>
        <w:tc>
          <w:tcPr>
            <w:tcW w:w="1670" w:type="dxa"/>
            <w:vMerge w:val="continue"/>
            <w:shd w:val="clear" w:color="auto" w:fill="auto"/>
            <w:vAlign w:val="center"/>
          </w:tcPr>
          <w:p w14:paraId="3D81624F">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26FEC2A2">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城市大型户外广告管理</w:t>
            </w:r>
          </w:p>
        </w:tc>
        <w:tc>
          <w:tcPr>
            <w:tcW w:w="1800" w:type="dxa"/>
            <w:shd w:val="clear" w:color="auto" w:fill="auto"/>
            <w:vAlign w:val="center"/>
          </w:tcPr>
          <w:p w14:paraId="40FF08F6">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vAlign w:val="center"/>
          </w:tcPr>
          <w:p w14:paraId="579CFA8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1.《城市市容和环境卫生管理条例》第十一条，第十七条;</w:t>
            </w:r>
          </w:p>
          <w:p w14:paraId="1483B42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2.《山东省城镇容貌和环境卫生管理办法》第二十五条;</w:t>
            </w:r>
          </w:p>
          <w:p w14:paraId="14958D4E">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3.《济南市户外广告和牌匾标识管理条例》第五条，第十三条，第十四条第十五条，第十八条，第十九条，第三十四条，第三十五条。</w:t>
            </w:r>
          </w:p>
        </w:tc>
        <w:tc>
          <w:tcPr>
            <w:tcW w:w="1383" w:type="dxa"/>
            <w:shd w:val="clear" w:color="auto" w:fill="auto"/>
            <w:vAlign w:val="center"/>
          </w:tcPr>
          <w:p w14:paraId="5310C33C">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412DF0D9">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48451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933" w:hRule="atLeast"/>
        </w:trPr>
        <w:tc>
          <w:tcPr>
            <w:tcW w:w="790" w:type="dxa"/>
            <w:shd w:val="clear" w:color="auto" w:fill="auto"/>
            <w:vAlign w:val="center"/>
          </w:tcPr>
          <w:p w14:paraId="1D82100E">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38</w:t>
            </w:r>
          </w:p>
        </w:tc>
        <w:tc>
          <w:tcPr>
            <w:tcW w:w="1670" w:type="dxa"/>
            <w:vMerge w:val="restart"/>
            <w:shd w:val="clear" w:color="auto" w:fill="auto"/>
            <w:vAlign w:val="center"/>
          </w:tcPr>
          <w:p w14:paraId="5366B06D">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济南市历下区水务局（3）</w:t>
            </w:r>
          </w:p>
        </w:tc>
        <w:tc>
          <w:tcPr>
            <w:tcW w:w="3210" w:type="dxa"/>
            <w:shd w:val="clear" w:color="auto" w:fill="auto"/>
            <w:vAlign w:val="center"/>
          </w:tcPr>
          <w:p w14:paraId="2BD6288F">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对水资源的监督检查</w:t>
            </w:r>
          </w:p>
        </w:tc>
        <w:tc>
          <w:tcPr>
            <w:tcW w:w="1800" w:type="dxa"/>
            <w:shd w:val="clear" w:color="auto" w:fill="auto"/>
            <w:vAlign w:val="center"/>
          </w:tcPr>
          <w:p w14:paraId="2AA9DD0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vAlign w:val="center"/>
          </w:tcPr>
          <w:p w14:paraId="60449CB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《中华人民共和国水法》</w:t>
            </w:r>
          </w:p>
        </w:tc>
        <w:tc>
          <w:tcPr>
            <w:tcW w:w="1383" w:type="dxa"/>
            <w:shd w:val="clear" w:color="auto" w:fill="auto"/>
            <w:vAlign w:val="center"/>
          </w:tcPr>
          <w:p w14:paraId="5C6D6DD4">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2A5F6131">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02C09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15" w:hRule="atLeast"/>
        </w:trPr>
        <w:tc>
          <w:tcPr>
            <w:tcW w:w="790" w:type="dxa"/>
            <w:shd w:val="clear" w:color="auto" w:fill="auto"/>
            <w:vAlign w:val="center"/>
          </w:tcPr>
          <w:p w14:paraId="3E1D4279">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39</w:t>
            </w:r>
          </w:p>
        </w:tc>
        <w:tc>
          <w:tcPr>
            <w:tcW w:w="1670" w:type="dxa"/>
            <w:vMerge w:val="continue"/>
            <w:shd w:val="clear" w:color="auto" w:fill="auto"/>
            <w:vAlign w:val="center"/>
          </w:tcPr>
          <w:p w14:paraId="3585ED52">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60749DF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对节约用水的监督检查</w:t>
            </w:r>
          </w:p>
        </w:tc>
        <w:tc>
          <w:tcPr>
            <w:tcW w:w="1800" w:type="dxa"/>
            <w:shd w:val="clear" w:color="auto" w:fill="auto"/>
            <w:vAlign w:val="center"/>
          </w:tcPr>
          <w:p w14:paraId="551F61C1">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vAlign w:val="center"/>
          </w:tcPr>
          <w:p w14:paraId="2D8BDCDF">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《济南市节约用水条例》</w:t>
            </w:r>
          </w:p>
        </w:tc>
        <w:tc>
          <w:tcPr>
            <w:tcW w:w="1383" w:type="dxa"/>
            <w:shd w:val="clear" w:color="auto" w:fill="auto"/>
            <w:vAlign w:val="center"/>
          </w:tcPr>
          <w:p w14:paraId="74463D56">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10A97890">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678B8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62" w:hRule="atLeast"/>
        </w:trPr>
        <w:tc>
          <w:tcPr>
            <w:tcW w:w="790" w:type="dxa"/>
            <w:shd w:val="clear" w:color="auto" w:fill="auto"/>
            <w:vAlign w:val="center"/>
          </w:tcPr>
          <w:p w14:paraId="52239B86">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40</w:t>
            </w:r>
          </w:p>
        </w:tc>
        <w:tc>
          <w:tcPr>
            <w:tcW w:w="1670" w:type="dxa"/>
            <w:vMerge w:val="continue"/>
            <w:shd w:val="clear" w:color="auto" w:fill="auto"/>
            <w:vAlign w:val="center"/>
          </w:tcPr>
          <w:p w14:paraId="2C91DDB6">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4594CA23">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对城市排水与污水处理的监督检查</w:t>
            </w:r>
          </w:p>
        </w:tc>
        <w:tc>
          <w:tcPr>
            <w:tcW w:w="1800" w:type="dxa"/>
            <w:shd w:val="clear" w:color="auto" w:fill="auto"/>
            <w:vAlign w:val="center"/>
          </w:tcPr>
          <w:p w14:paraId="54DD022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vAlign w:val="center"/>
          </w:tcPr>
          <w:p w14:paraId="2605DB9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《城镇排水与污水处理条例》</w:t>
            </w:r>
          </w:p>
        </w:tc>
        <w:tc>
          <w:tcPr>
            <w:tcW w:w="1383" w:type="dxa"/>
            <w:shd w:val="clear" w:color="auto" w:fill="auto"/>
            <w:vAlign w:val="center"/>
          </w:tcPr>
          <w:p w14:paraId="14A3ED35">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0BCCDD9F">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764B3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803" w:hRule="atLeast"/>
        </w:trPr>
        <w:tc>
          <w:tcPr>
            <w:tcW w:w="790" w:type="dxa"/>
            <w:shd w:val="clear" w:color="auto" w:fill="auto"/>
            <w:vAlign w:val="center"/>
          </w:tcPr>
          <w:p w14:paraId="26D50555">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41</w:t>
            </w:r>
          </w:p>
        </w:tc>
        <w:tc>
          <w:tcPr>
            <w:tcW w:w="1670" w:type="dxa"/>
            <w:vMerge w:val="restart"/>
            <w:shd w:val="clear" w:color="auto" w:fill="auto"/>
            <w:vAlign w:val="center"/>
          </w:tcPr>
          <w:p w14:paraId="3735E73B">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济南市历下区文化和旅游局（6）</w:t>
            </w:r>
          </w:p>
        </w:tc>
        <w:tc>
          <w:tcPr>
            <w:tcW w:w="3210" w:type="dxa"/>
            <w:shd w:val="clear" w:color="auto" w:fill="auto"/>
            <w:vAlign w:val="center"/>
          </w:tcPr>
          <w:p w14:paraId="6215855F">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文物保护监督检查</w:t>
            </w:r>
          </w:p>
        </w:tc>
        <w:tc>
          <w:tcPr>
            <w:tcW w:w="1800" w:type="dxa"/>
            <w:shd w:val="clear" w:color="auto" w:fill="auto"/>
            <w:vAlign w:val="center"/>
          </w:tcPr>
          <w:p w14:paraId="03450853">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文物销售单位、文物拍卖企业、</w:t>
            </w:r>
          </w:p>
          <w:p w14:paraId="6BB8F256">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文物收藏单位</w:t>
            </w:r>
          </w:p>
        </w:tc>
        <w:tc>
          <w:tcPr>
            <w:tcW w:w="4786" w:type="dxa"/>
            <w:shd w:val="clear" w:color="auto" w:fill="auto"/>
            <w:vAlign w:val="center"/>
          </w:tcPr>
          <w:p w14:paraId="7052BB0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《中华人民共和国文物保护法》</w:t>
            </w:r>
          </w:p>
        </w:tc>
        <w:tc>
          <w:tcPr>
            <w:tcW w:w="1383" w:type="dxa"/>
            <w:shd w:val="clear" w:color="auto" w:fill="auto"/>
            <w:vAlign w:val="center"/>
          </w:tcPr>
          <w:p w14:paraId="1A71DFEE">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02C8BDF4">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54D79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107" w:hRule="atLeast"/>
        </w:trPr>
        <w:tc>
          <w:tcPr>
            <w:tcW w:w="790" w:type="dxa"/>
            <w:shd w:val="clear" w:color="auto" w:fill="auto"/>
            <w:vAlign w:val="center"/>
          </w:tcPr>
          <w:p w14:paraId="6E219980">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42</w:t>
            </w:r>
          </w:p>
        </w:tc>
        <w:tc>
          <w:tcPr>
            <w:tcW w:w="1670" w:type="dxa"/>
            <w:vMerge w:val="continue"/>
            <w:shd w:val="clear" w:color="auto" w:fill="auto"/>
            <w:vAlign w:val="center"/>
          </w:tcPr>
          <w:p w14:paraId="313161EE">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7A2B2EB9">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艺术品经营监督检查</w:t>
            </w:r>
          </w:p>
        </w:tc>
        <w:tc>
          <w:tcPr>
            <w:tcW w:w="1800" w:type="dxa"/>
            <w:shd w:val="clear" w:color="auto" w:fill="auto"/>
            <w:vAlign w:val="center"/>
          </w:tcPr>
          <w:p w14:paraId="6F91D151">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艺术品经营单位</w:t>
            </w:r>
          </w:p>
        </w:tc>
        <w:tc>
          <w:tcPr>
            <w:tcW w:w="4786" w:type="dxa"/>
            <w:shd w:val="clear" w:color="auto" w:fill="auto"/>
            <w:vAlign w:val="center"/>
          </w:tcPr>
          <w:p w14:paraId="3D07DF7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《艺术品经营管理办法》</w:t>
            </w:r>
          </w:p>
        </w:tc>
        <w:tc>
          <w:tcPr>
            <w:tcW w:w="1383" w:type="dxa"/>
            <w:shd w:val="clear" w:color="auto" w:fill="auto"/>
            <w:vAlign w:val="center"/>
          </w:tcPr>
          <w:p w14:paraId="68A9CE62">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2A75D850">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6CDEA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099" w:hRule="atLeast"/>
        </w:trPr>
        <w:tc>
          <w:tcPr>
            <w:tcW w:w="790" w:type="dxa"/>
            <w:shd w:val="clear" w:color="auto" w:fill="auto"/>
            <w:vAlign w:val="center"/>
          </w:tcPr>
          <w:p w14:paraId="745BC86C">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43</w:t>
            </w:r>
          </w:p>
        </w:tc>
        <w:tc>
          <w:tcPr>
            <w:tcW w:w="1670" w:type="dxa"/>
            <w:vMerge w:val="continue"/>
            <w:shd w:val="clear" w:color="auto" w:fill="auto"/>
            <w:vAlign w:val="center"/>
          </w:tcPr>
          <w:p w14:paraId="66AC42D3">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7809669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广播电视节目制作监督检查</w:t>
            </w:r>
          </w:p>
        </w:tc>
        <w:tc>
          <w:tcPr>
            <w:tcW w:w="1800" w:type="dxa"/>
            <w:shd w:val="clear" w:color="auto" w:fill="auto"/>
            <w:vAlign w:val="center"/>
          </w:tcPr>
          <w:p w14:paraId="5C328E7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广播电视节目制作经营单位</w:t>
            </w:r>
          </w:p>
        </w:tc>
        <w:tc>
          <w:tcPr>
            <w:tcW w:w="4786" w:type="dxa"/>
            <w:shd w:val="clear" w:color="auto" w:fill="auto"/>
            <w:vAlign w:val="center"/>
          </w:tcPr>
          <w:p w14:paraId="6E3620D3">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《广播电视管理条例》《广播电视节目制作经营管理规定》</w:t>
            </w:r>
          </w:p>
        </w:tc>
        <w:tc>
          <w:tcPr>
            <w:tcW w:w="1383" w:type="dxa"/>
            <w:shd w:val="clear" w:color="auto" w:fill="auto"/>
            <w:vAlign w:val="center"/>
          </w:tcPr>
          <w:p w14:paraId="38D434EB">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5A678A1B">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1FA60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124" w:hRule="atLeast"/>
        </w:trPr>
        <w:tc>
          <w:tcPr>
            <w:tcW w:w="790" w:type="dxa"/>
            <w:shd w:val="clear" w:color="auto" w:fill="auto"/>
            <w:vAlign w:val="center"/>
          </w:tcPr>
          <w:p w14:paraId="00DD0C82">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44</w:t>
            </w:r>
          </w:p>
        </w:tc>
        <w:tc>
          <w:tcPr>
            <w:tcW w:w="1670" w:type="dxa"/>
            <w:vMerge w:val="continue"/>
            <w:shd w:val="clear" w:color="auto" w:fill="auto"/>
            <w:vAlign w:val="center"/>
          </w:tcPr>
          <w:p w14:paraId="11F97DEB">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04A03D4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在线旅游经营服务监督检查</w:t>
            </w:r>
          </w:p>
        </w:tc>
        <w:tc>
          <w:tcPr>
            <w:tcW w:w="1800" w:type="dxa"/>
            <w:shd w:val="clear" w:color="auto" w:fill="auto"/>
            <w:vAlign w:val="center"/>
          </w:tcPr>
          <w:p w14:paraId="6DB6431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在线旅游经营服务经营者</w:t>
            </w:r>
          </w:p>
        </w:tc>
        <w:tc>
          <w:tcPr>
            <w:tcW w:w="4786" w:type="dxa"/>
            <w:shd w:val="clear" w:color="auto" w:fill="auto"/>
            <w:vAlign w:val="center"/>
          </w:tcPr>
          <w:p w14:paraId="0038A19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《在线旅游经营服务管理暂行规定》</w:t>
            </w:r>
          </w:p>
        </w:tc>
        <w:tc>
          <w:tcPr>
            <w:tcW w:w="1383" w:type="dxa"/>
            <w:shd w:val="clear" w:color="auto" w:fill="auto"/>
            <w:vAlign w:val="center"/>
          </w:tcPr>
          <w:p w14:paraId="320B61E3">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5D83F9B9">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41F25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32985B82">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45</w:t>
            </w:r>
          </w:p>
        </w:tc>
        <w:tc>
          <w:tcPr>
            <w:tcW w:w="1670" w:type="dxa"/>
            <w:vMerge w:val="continue"/>
            <w:shd w:val="clear" w:color="auto" w:fill="auto"/>
            <w:vAlign w:val="center"/>
          </w:tcPr>
          <w:p w14:paraId="6AB54846">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6D264241">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互联网文化监督检查</w:t>
            </w:r>
          </w:p>
        </w:tc>
        <w:tc>
          <w:tcPr>
            <w:tcW w:w="1800" w:type="dxa"/>
            <w:shd w:val="clear" w:color="auto" w:fill="auto"/>
            <w:vAlign w:val="center"/>
          </w:tcPr>
          <w:p w14:paraId="50E96C39">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经营性互联网文化单位</w:t>
            </w:r>
          </w:p>
        </w:tc>
        <w:tc>
          <w:tcPr>
            <w:tcW w:w="4786" w:type="dxa"/>
            <w:shd w:val="clear" w:color="auto" w:fill="auto"/>
            <w:vAlign w:val="center"/>
          </w:tcPr>
          <w:p w14:paraId="628C47A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《互联网文化管理暂行规定》</w:t>
            </w:r>
          </w:p>
        </w:tc>
        <w:tc>
          <w:tcPr>
            <w:tcW w:w="1383" w:type="dxa"/>
            <w:shd w:val="clear" w:color="auto" w:fill="auto"/>
            <w:vAlign w:val="center"/>
          </w:tcPr>
          <w:p w14:paraId="197DA984">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61B15690">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74A67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7C400535">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46</w:t>
            </w:r>
          </w:p>
        </w:tc>
        <w:tc>
          <w:tcPr>
            <w:tcW w:w="1670" w:type="dxa"/>
            <w:vMerge w:val="continue"/>
            <w:shd w:val="clear" w:color="auto" w:fill="auto"/>
            <w:vAlign w:val="center"/>
          </w:tcPr>
          <w:p w14:paraId="5F7DDA92">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1E001E36">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互联网视听节目服务监督检查</w:t>
            </w:r>
          </w:p>
        </w:tc>
        <w:tc>
          <w:tcPr>
            <w:tcW w:w="1800" w:type="dxa"/>
            <w:shd w:val="clear" w:color="auto" w:fill="auto"/>
            <w:vAlign w:val="center"/>
          </w:tcPr>
          <w:p w14:paraId="1D1D8467">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持有《信息网络传播视听节目许可证》机构</w:t>
            </w:r>
          </w:p>
        </w:tc>
        <w:tc>
          <w:tcPr>
            <w:tcW w:w="4786" w:type="dxa"/>
            <w:shd w:val="clear" w:color="auto" w:fill="auto"/>
            <w:vAlign w:val="center"/>
          </w:tcPr>
          <w:p w14:paraId="21F19C36">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《互联网视听节目服务管理规定》</w:t>
            </w:r>
          </w:p>
        </w:tc>
        <w:tc>
          <w:tcPr>
            <w:tcW w:w="1383" w:type="dxa"/>
            <w:shd w:val="clear" w:color="auto" w:fill="auto"/>
            <w:vAlign w:val="center"/>
          </w:tcPr>
          <w:p w14:paraId="366A1D81">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41D9B022">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5B0D2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385028E7">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47</w:t>
            </w:r>
          </w:p>
        </w:tc>
        <w:tc>
          <w:tcPr>
            <w:tcW w:w="1670" w:type="dxa"/>
            <w:vMerge w:val="restart"/>
            <w:shd w:val="clear" w:color="auto" w:fill="auto"/>
            <w:vAlign w:val="center"/>
          </w:tcPr>
          <w:p w14:paraId="7315A47D">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济南市历下区应急管理局（11）</w:t>
            </w:r>
          </w:p>
        </w:tc>
        <w:tc>
          <w:tcPr>
            <w:tcW w:w="3210" w:type="dxa"/>
            <w:shd w:val="clear" w:color="auto" w:fill="auto"/>
            <w:vAlign w:val="center"/>
          </w:tcPr>
          <w:p w14:paraId="6A1F2C16">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对破坏典型地震遗址、遗迹的检查</w:t>
            </w:r>
          </w:p>
        </w:tc>
        <w:tc>
          <w:tcPr>
            <w:tcW w:w="1800" w:type="dxa"/>
            <w:shd w:val="clear" w:color="auto" w:fill="auto"/>
            <w:vAlign w:val="center"/>
          </w:tcPr>
          <w:p w14:paraId="60BAF2B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地震相关企业</w:t>
            </w:r>
          </w:p>
        </w:tc>
        <w:tc>
          <w:tcPr>
            <w:tcW w:w="4786" w:type="dxa"/>
            <w:shd w:val="clear" w:color="auto" w:fill="auto"/>
            <w:vAlign w:val="center"/>
          </w:tcPr>
          <w:p w14:paraId="0BAF253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《中华人民共和国防震减灾法》第八十四条第三款。</w:t>
            </w:r>
          </w:p>
        </w:tc>
        <w:tc>
          <w:tcPr>
            <w:tcW w:w="1383" w:type="dxa"/>
            <w:shd w:val="clear" w:color="auto" w:fill="auto"/>
            <w:vAlign w:val="center"/>
          </w:tcPr>
          <w:p w14:paraId="4126F0B6">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1AFFC63B">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06170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762E1A16">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48</w:t>
            </w:r>
          </w:p>
        </w:tc>
        <w:tc>
          <w:tcPr>
            <w:tcW w:w="1670" w:type="dxa"/>
            <w:vMerge w:val="continue"/>
          </w:tcPr>
          <w:p w14:paraId="42E298BD">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583B148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对未按照要求增建抗干扰设施或者新建地震监测设施的检查</w:t>
            </w:r>
          </w:p>
        </w:tc>
        <w:tc>
          <w:tcPr>
            <w:tcW w:w="1800" w:type="dxa"/>
            <w:shd w:val="clear" w:color="auto" w:fill="auto"/>
            <w:vAlign w:val="center"/>
          </w:tcPr>
          <w:p w14:paraId="1B3C5A17">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地震相关企业</w:t>
            </w:r>
          </w:p>
        </w:tc>
        <w:tc>
          <w:tcPr>
            <w:tcW w:w="4786" w:type="dxa"/>
            <w:shd w:val="clear" w:color="auto" w:fill="auto"/>
            <w:vAlign w:val="center"/>
          </w:tcPr>
          <w:p w14:paraId="7E843999">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《中华人民共和国防震减灾法》第二十四条第一款。</w:t>
            </w:r>
          </w:p>
        </w:tc>
        <w:tc>
          <w:tcPr>
            <w:tcW w:w="1383" w:type="dxa"/>
            <w:shd w:val="clear" w:color="auto" w:fill="auto"/>
            <w:vAlign w:val="center"/>
          </w:tcPr>
          <w:p w14:paraId="64EEEFF5">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07AAE552">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22787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4AA5D93F">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49</w:t>
            </w:r>
          </w:p>
        </w:tc>
        <w:tc>
          <w:tcPr>
            <w:tcW w:w="1670" w:type="dxa"/>
            <w:vMerge w:val="continue"/>
          </w:tcPr>
          <w:p w14:paraId="6526913B">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4A50455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对地震安全性评价单位违法从事地震安全性评价工作的检查</w:t>
            </w:r>
          </w:p>
        </w:tc>
        <w:tc>
          <w:tcPr>
            <w:tcW w:w="1800" w:type="dxa"/>
            <w:shd w:val="clear" w:color="auto" w:fill="auto"/>
            <w:vAlign w:val="center"/>
          </w:tcPr>
          <w:p w14:paraId="14C6EA9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地震相关企业</w:t>
            </w:r>
          </w:p>
        </w:tc>
        <w:tc>
          <w:tcPr>
            <w:tcW w:w="4786" w:type="dxa"/>
            <w:shd w:val="clear" w:color="auto" w:fill="auto"/>
            <w:vAlign w:val="center"/>
          </w:tcPr>
          <w:p w14:paraId="26364AE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《地震安全性评价管理条例》第十六条。</w:t>
            </w:r>
          </w:p>
        </w:tc>
        <w:tc>
          <w:tcPr>
            <w:tcW w:w="1383" w:type="dxa"/>
            <w:shd w:val="clear" w:color="auto" w:fill="auto"/>
            <w:vAlign w:val="center"/>
          </w:tcPr>
          <w:p w14:paraId="19DE802D">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2EE38539">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79AC2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2C4F2D9C">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50</w:t>
            </w:r>
          </w:p>
        </w:tc>
        <w:tc>
          <w:tcPr>
            <w:tcW w:w="1670" w:type="dxa"/>
            <w:vMerge w:val="continue"/>
          </w:tcPr>
          <w:p w14:paraId="725003B4">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7285D4F4">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对侵占、毁损、拆除或者擅自移动地震监测设施及附属设施的检查</w:t>
            </w:r>
          </w:p>
        </w:tc>
        <w:tc>
          <w:tcPr>
            <w:tcW w:w="1800" w:type="dxa"/>
            <w:shd w:val="clear" w:color="auto" w:fill="auto"/>
            <w:vAlign w:val="center"/>
          </w:tcPr>
          <w:p w14:paraId="133D5C53">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地震相关企业</w:t>
            </w:r>
          </w:p>
        </w:tc>
        <w:tc>
          <w:tcPr>
            <w:tcW w:w="4786" w:type="dxa"/>
            <w:shd w:val="clear" w:color="auto" w:fill="auto"/>
            <w:vAlign w:val="center"/>
          </w:tcPr>
          <w:p w14:paraId="4E3E8677">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1.《地震监测管理条例》第二十六条第一、二、三、四、五、六款；</w:t>
            </w:r>
          </w:p>
          <w:p w14:paraId="60B3D957">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2.《山东省地震监测设施与地震观测环境保护条例》第十四条第一、二、三、四、五、六款。</w:t>
            </w:r>
          </w:p>
        </w:tc>
        <w:tc>
          <w:tcPr>
            <w:tcW w:w="1383" w:type="dxa"/>
            <w:shd w:val="clear" w:color="auto" w:fill="auto"/>
            <w:vAlign w:val="center"/>
          </w:tcPr>
          <w:p w14:paraId="4AA97CB9">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5EAE3E93">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4C7C9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374" w:hRule="atLeast"/>
        </w:trPr>
        <w:tc>
          <w:tcPr>
            <w:tcW w:w="790" w:type="dxa"/>
            <w:shd w:val="clear" w:color="auto" w:fill="auto"/>
            <w:vAlign w:val="center"/>
          </w:tcPr>
          <w:p w14:paraId="747058AD">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51</w:t>
            </w:r>
          </w:p>
        </w:tc>
        <w:tc>
          <w:tcPr>
            <w:tcW w:w="1670" w:type="dxa"/>
            <w:vMerge w:val="continue"/>
          </w:tcPr>
          <w:p w14:paraId="0DF1C0F6">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4165FCF3">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对在地震观测环境保护范围内擅自新建、改建、扩建建设工程项目的检查</w:t>
            </w:r>
          </w:p>
        </w:tc>
        <w:tc>
          <w:tcPr>
            <w:tcW w:w="1800" w:type="dxa"/>
            <w:shd w:val="clear" w:color="auto" w:fill="auto"/>
            <w:vAlign w:val="center"/>
          </w:tcPr>
          <w:p w14:paraId="4284BE11">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地震相关企业</w:t>
            </w:r>
          </w:p>
        </w:tc>
        <w:tc>
          <w:tcPr>
            <w:tcW w:w="4786" w:type="dxa"/>
            <w:shd w:val="clear" w:color="auto" w:fill="auto"/>
            <w:vAlign w:val="center"/>
          </w:tcPr>
          <w:p w14:paraId="507190E6">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《山东省地震监测设施与地震观测环境保护条例》第六条、第十五条第七项。</w:t>
            </w:r>
          </w:p>
        </w:tc>
        <w:tc>
          <w:tcPr>
            <w:tcW w:w="1383" w:type="dxa"/>
            <w:shd w:val="clear" w:color="auto" w:fill="auto"/>
            <w:vAlign w:val="center"/>
          </w:tcPr>
          <w:p w14:paraId="06C5FAF6">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6CD098FC">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1AA92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612" w:hRule="atLeast"/>
        </w:trPr>
        <w:tc>
          <w:tcPr>
            <w:tcW w:w="790" w:type="dxa"/>
            <w:shd w:val="clear" w:color="auto" w:fill="auto"/>
            <w:vAlign w:val="center"/>
          </w:tcPr>
          <w:p w14:paraId="620FF72B">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52</w:t>
            </w:r>
          </w:p>
        </w:tc>
        <w:tc>
          <w:tcPr>
            <w:tcW w:w="1670" w:type="dxa"/>
            <w:vMerge w:val="continue"/>
          </w:tcPr>
          <w:p w14:paraId="696477C9">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51CF458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对危害地震观测环境的检查</w:t>
            </w:r>
          </w:p>
        </w:tc>
        <w:tc>
          <w:tcPr>
            <w:tcW w:w="1800" w:type="dxa"/>
            <w:shd w:val="clear" w:color="auto" w:fill="auto"/>
            <w:vAlign w:val="center"/>
          </w:tcPr>
          <w:p w14:paraId="4BC7D4B1">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地震相关企业</w:t>
            </w:r>
          </w:p>
        </w:tc>
        <w:tc>
          <w:tcPr>
            <w:tcW w:w="4786" w:type="dxa"/>
            <w:shd w:val="clear" w:color="auto" w:fill="auto"/>
            <w:vAlign w:val="center"/>
          </w:tcPr>
          <w:p w14:paraId="046588B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《山东省地震监测设施与地震观测环境保护条例》第六条。</w:t>
            </w:r>
          </w:p>
        </w:tc>
        <w:tc>
          <w:tcPr>
            <w:tcW w:w="1383" w:type="dxa"/>
            <w:shd w:val="clear" w:color="auto" w:fill="auto"/>
            <w:vAlign w:val="center"/>
          </w:tcPr>
          <w:p w14:paraId="668FF70E">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27227844">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4EEC8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7746D1D8">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53</w:t>
            </w:r>
          </w:p>
        </w:tc>
        <w:tc>
          <w:tcPr>
            <w:tcW w:w="1670" w:type="dxa"/>
            <w:vMerge w:val="continue"/>
          </w:tcPr>
          <w:p w14:paraId="18AA1C04">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7B52FF0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对专用地震监测设施和地震观测环境的监督检查</w:t>
            </w:r>
          </w:p>
        </w:tc>
        <w:tc>
          <w:tcPr>
            <w:tcW w:w="1800" w:type="dxa"/>
            <w:shd w:val="clear" w:color="auto" w:fill="auto"/>
            <w:vAlign w:val="center"/>
          </w:tcPr>
          <w:p w14:paraId="482A915F">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地震相关企业</w:t>
            </w:r>
          </w:p>
        </w:tc>
        <w:tc>
          <w:tcPr>
            <w:tcW w:w="4786" w:type="dxa"/>
            <w:shd w:val="clear" w:color="auto" w:fill="auto"/>
            <w:vAlign w:val="center"/>
          </w:tcPr>
          <w:p w14:paraId="74E28069">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1.《地震监测管理条例》第二十条；</w:t>
            </w:r>
          </w:p>
          <w:p w14:paraId="749129A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2.《山东省地震监测设施与地震观测环境保护条例》第六条第一款；</w:t>
            </w:r>
          </w:p>
          <w:p w14:paraId="2513EEB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3.《水库地震监测管理办法》第三条；</w:t>
            </w:r>
          </w:p>
          <w:p w14:paraId="4911B56F">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4.《山东省地震监测台网管理办法》第六条第二款。</w:t>
            </w:r>
          </w:p>
        </w:tc>
        <w:tc>
          <w:tcPr>
            <w:tcW w:w="1383" w:type="dxa"/>
            <w:shd w:val="clear" w:color="auto" w:fill="auto"/>
            <w:vAlign w:val="center"/>
          </w:tcPr>
          <w:p w14:paraId="6F002C71">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3C73EEBF">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76839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59" w:hRule="atLeast"/>
        </w:trPr>
        <w:tc>
          <w:tcPr>
            <w:tcW w:w="790" w:type="dxa"/>
            <w:shd w:val="clear" w:color="auto" w:fill="auto"/>
            <w:vAlign w:val="center"/>
          </w:tcPr>
          <w:p w14:paraId="5BFF9D74">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54</w:t>
            </w:r>
          </w:p>
        </w:tc>
        <w:tc>
          <w:tcPr>
            <w:tcW w:w="1670" w:type="dxa"/>
            <w:vMerge w:val="continue"/>
          </w:tcPr>
          <w:p w14:paraId="26661331">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66467AF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对地震安全性评价从业单位的行政检查</w:t>
            </w:r>
          </w:p>
        </w:tc>
        <w:tc>
          <w:tcPr>
            <w:tcW w:w="1800" w:type="dxa"/>
            <w:shd w:val="clear" w:color="auto" w:fill="auto"/>
            <w:vAlign w:val="center"/>
          </w:tcPr>
          <w:p w14:paraId="555D97CA">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地震相关企业</w:t>
            </w:r>
          </w:p>
        </w:tc>
        <w:tc>
          <w:tcPr>
            <w:tcW w:w="4786" w:type="dxa"/>
            <w:shd w:val="clear" w:color="auto" w:fill="auto"/>
            <w:vAlign w:val="center"/>
          </w:tcPr>
          <w:p w14:paraId="75E1E577">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1.《中华人民共和国防震减灾法》第七十六条；</w:t>
            </w:r>
          </w:p>
          <w:p w14:paraId="197C1DC4">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2.《山东省防震减灾条例》第二十七条；</w:t>
            </w:r>
          </w:p>
          <w:p w14:paraId="547271C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3.《山东省地震安全性评价管理办法》第十六条。</w:t>
            </w:r>
          </w:p>
        </w:tc>
        <w:tc>
          <w:tcPr>
            <w:tcW w:w="1383" w:type="dxa"/>
            <w:shd w:val="clear" w:color="auto" w:fill="auto"/>
            <w:vAlign w:val="center"/>
          </w:tcPr>
          <w:p w14:paraId="66FB0F07">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57F2815E">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165D4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586668AD">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55</w:t>
            </w:r>
          </w:p>
        </w:tc>
        <w:tc>
          <w:tcPr>
            <w:tcW w:w="1670" w:type="dxa"/>
            <w:vMerge w:val="continue"/>
          </w:tcPr>
          <w:p w14:paraId="0A39856A">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1BAA7E7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对地震应急工作的监督检查</w:t>
            </w:r>
          </w:p>
        </w:tc>
        <w:tc>
          <w:tcPr>
            <w:tcW w:w="1800" w:type="dxa"/>
            <w:shd w:val="clear" w:color="auto" w:fill="auto"/>
            <w:vAlign w:val="center"/>
          </w:tcPr>
          <w:p w14:paraId="35C8ABD7">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地震相关企业</w:t>
            </w:r>
          </w:p>
        </w:tc>
        <w:tc>
          <w:tcPr>
            <w:tcW w:w="4786" w:type="dxa"/>
            <w:shd w:val="clear" w:color="auto" w:fill="auto"/>
            <w:vAlign w:val="center"/>
          </w:tcPr>
          <w:p w14:paraId="19D42B02">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1.《中华人民共和国防震减灾法》第四十四条第五款、第七十五条；</w:t>
            </w:r>
          </w:p>
          <w:p w14:paraId="2A2F3C6F">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2.《山东省防震减灾条例》第五十一条第二款、第五十八条第六、七、八、九、十款。</w:t>
            </w:r>
          </w:p>
        </w:tc>
        <w:tc>
          <w:tcPr>
            <w:tcW w:w="1383" w:type="dxa"/>
            <w:shd w:val="clear" w:color="auto" w:fill="auto"/>
            <w:vAlign w:val="center"/>
          </w:tcPr>
          <w:p w14:paraId="2CAC59B0">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13CE735C">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60770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7C77F19B">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56</w:t>
            </w:r>
          </w:p>
        </w:tc>
        <w:tc>
          <w:tcPr>
            <w:tcW w:w="1670" w:type="dxa"/>
            <w:vMerge w:val="continue"/>
          </w:tcPr>
          <w:p w14:paraId="086A6FF2">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610F96E5">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对地震活动断层调查的监督检查</w:t>
            </w:r>
          </w:p>
        </w:tc>
        <w:tc>
          <w:tcPr>
            <w:tcW w:w="1800" w:type="dxa"/>
            <w:shd w:val="clear" w:color="auto" w:fill="auto"/>
            <w:vAlign w:val="center"/>
          </w:tcPr>
          <w:p w14:paraId="2C75E31E">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地震相关企业</w:t>
            </w:r>
          </w:p>
        </w:tc>
        <w:tc>
          <w:tcPr>
            <w:tcW w:w="4786" w:type="dxa"/>
            <w:shd w:val="clear" w:color="auto" w:fill="auto"/>
            <w:vAlign w:val="center"/>
          </w:tcPr>
          <w:p w14:paraId="36D82B97">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《山东省地震活动断层调查管理规定》第三条。</w:t>
            </w:r>
          </w:p>
        </w:tc>
        <w:tc>
          <w:tcPr>
            <w:tcW w:w="1383" w:type="dxa"/>
            <w:shd w:val="clear" w:color="auto" w:fill="auto"/>
            <w:vAlign w:val="center"/>
          </w:tcPr>
          <w:p w14:paraId="0F1E6F83">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56FFD283">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6B736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70" w:hRule="atLeast"/>
        </w:trPr>
        <w:tc>
          <w:tcPr>
            <w:tcW w:w="790" w:type="dxa"/>
            <w:shd w:val="clear" w:color="auto" w:fill="auto"/>
            <w:vAlign w:val="center"/>
          </w:tcPr>
          <w:p w14:paraId="4FC40D8D">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57</w:t>
            </w:r>
          </w:p>
        </w:tc>
        <w:tc>
          <w:tcPr>
            <w:tcW w:w="1670" w:type="dxa"/>
            <w:vMerge w:val="continue"/>
          </w:tcPr>
          <w:p w14:paraId="0AF13F75">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3F41A0E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对地震应急避难场所建设、启用、维护、管理不符合规定的检查</w:t>
            </w:r>
          </w:p>
        </w:tc>
        <w:tc>
          <w:tcPr>
            <w:tcW w:w="1800" w:type="dxa"/>
            <w:shd w:val="clear" w:color="auto" w:fill="auto"/>
            <w:vAlign w:val="center"/>
          </w:tcPr>
          <w:p w14:paraId="7359403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地震相关企业</w:t>
            </w:r>
          </w:p>
        </w:tc>
        <w:tc>
          <w:tcPr>
            <w:tcW w:w="4786" w:type="dxa"/>
            <w:shd w:val="clear" w:color="auto" w:fill="auto"/>
            <w:vAlign w:val="center"/>
          </w:tcPr>
          <w:p w14:paraId="6DBEB049">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《山东省地震应急避难场所管理办法》第二十条。</w:t>
            </w:r>
          </w:p>
        </w:tc>
        <w:tc>
          <w:tcPr>
            <w:tcW w:w="1383" w:type="dxa"/>
            <w:shd w:val="clear" w:color="auto" w:fill="auto"/>
            <w:vAlign w:val="center"/>
          </w:tcPr>
          <w:p w14:paraId="15096966">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4EF6A557">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61F04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536" w:hRule="atLeast"/>
        </w:trPr>
        <w:tc>
          <w:tcPr>
            <w:tcW w:w="790" w:type="dxa"/>
            <w:shd w:val="clear" w:color="auto" w:fill="auto"/>
            <w:vAlign w:val="center"/>
          </w:tcPr>
          <w:p w14:paraId="4973022D">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58</w:t>
            </w:r>
          </w:p>
        </w:tc>
        <w:tc>
          <w:tcPr>
            <w:tcW w:w="1670" w:type="dxa"/>
            <w:vMerge w:val="restart"/>
            <w:shd w:val="clear" w:color="auto" w:fill="auto"/>
            <w:vAlign w:val="center"/>
          </w:tcPr>
          <w:p w14:paraId="749574C1">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济南市历下区市场监督管理局（2）</w:t>
            </w:r>
          </w:p>
        </w:tc>
        <w:tc>
          <w:tcPr>
            <w:tcW w:w="3210" w:type="dxa"/>
            <w:shd w:val="clear" w:color="auto" w:fill="auto"/>
            <w:vAlign w:val="center"/>
          </w:tcPr>
          <w:p w14:paraId="2D18D817">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对团体标准的监督检查</w:t>
            </w:r>
          </w:p>
        </w:tc>
        <w:tc>
          <w:tcPr>
            <w:tcW w:w="1800" w:type="dxa"/>
            <w:shd w:val="clear" w:color="auto" w:fill="auto"/>
            <w:vAlign w:val="center"/>
          </w:tcPr>
          <w:p w14:paraId="499CFC3F">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社会团体</w:t>
            </w:r>
          </w:p>
        </w:tc>
        <w:tc>
          <w:tcPr>
            <w:tcW w:w="4786" w:type="dxa"/>
            <w:shd w:val="clear" w:color="auto" w:fill="auto"/>
            <w:vAlign w:val="center"/>
          </w:tcPr>
          <w:p w14:paraId="26AA383C">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《中华人民共和国标准化法》第十八条、第二十七条、第三十二条。</w:t>
            </w:r>
          </w:p>
        </w:tc>
        <w:tc>
          <w:tcPr>
            <w:tcW w:w="1383" w:type="dxa"/>
            <w:shd w:val="clear" w:color="auto" w:fill="auto"/>
            <w:vAlign w:val="center"/>
          </w:tcPr>
          <w:p w14:paraId="5DA48381">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21FE47CE">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5E799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403" w:hRule="atLeast"/>
        </w:trPr>
        <w:tc>
          <w:tcPr>
            <w:tcW w:w="790" w:type="dxa"/>
            <w:shd w:val="clear" w:color="auto" w:fill="auto"/>
            <w:vAlign w:val="center"/>
          </w:tcPr>
          <w:p w14:paraId="682FB480">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59</w:t>
            </w:r>
          </w:p>
        </w:tc>
        <w:tc>
          <w:tcPr>
            <w:tcW w:w="1670" w:type="dxa"/>
            <w:vMerge w:val="continue"/>
            <w:shd w:val="clear" w:color="auto" w:fill="auto"/>
            <w:vAlign w:val="center"/>
          </w:tcPr>
          <w:p w14:paraId="1250CEDD">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43B53741">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对企业标准自我声明公</w:t>
            </w:r>
          </w:p>
          <w:p w14:paraId="3BA56504">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开的监督检查</w:t>
            </w:r>
          </w:p>
        </w:tc>
        <w:tc>
          <w:tcPr>
            <w:tcW w:w="1800" w:type="dxa"/>
            <w:shd w:val="clear" w:color="auto" w:fill="auto"/>
            <w:vAlign w:val="center"/>
          </w:tcPr>
          <w:p w14:paraId="58DD8702">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企业</w:t>
            </w:r>
          </w:p>
        </w:tc>
        <w:tc>
          <w:tcPr>
            <w:tcW w:w="4786" w:type="dxa"/>
            <w:shd w:val="clear" w:color="auto" w:fill="auto"/>
            <w:vAlign w:val="center"/>
          </w:tcPr>
          <w:p w14:paraId="0F5E4A2D">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《中华人民共和国标准化法》第一十八条、第二十七条、第三十二条。</w:t>
            </w:r>
          </w:p>
        </w:tc>
        <w:tc>
          <w:tcPr>
            <w:tcW w:w="1383" w:type="dxa"/>
            <w:shd w:val="clear" w:color="auto" w:fill="auto"/>
            <w:vAlign w:val="center"/>
          </w:tcPr>
          <w:p w14:paraId="33D65064">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类型二</w:t>
            </w:r>
          </w:p>
        </w:tc>
        <w:tc>
          <w:tcPr>
            <w:tcW w:w="869" w:type="dxa"/>
            <w:shd w:val="clear" w:color="auto" w:fill="auto"/>
            <w:vAlign w:val="center"/>
          </w:tcPr>
          <w:p w14:paraId="61CCDB01">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2D14D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466" w:hRule="atLeast"/>
        </w:trPr>
        <w:tc>
          <w:tcPr>
            <w:tcW w:w="790" w:type="dxa"/>
            <w:shd w:val="clear" w:color="auto" w:fill="auto"/>
            <w:vAlign w:val="center"/>
          </w:tcPr>
          <w:p w14:paraId="584D7DED">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60</w:t>
            </w:r>
          </w:p>
        </w:tc>
        <w:tc>
          <w:tcPr>
            <w:tcW w:w="1670" w:type="dxa"/>
            <w:vMerge w:val="restart"/>
            <w:shd w:val="clear" w:color="auto" w:fill="auto"/>
            <w:vAlign w:val="center"/>
          </w:tcPr>
          <w:p w14:paraId="063F54F2">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济南市历下区统计局（2）</w:t>
            </w:r>
          </w:p>
        </w:tc>
        <w:tc>
          <w:tcPr>
            <w:tcW w:w="3210" w:type="dxa"/>
            <w:shd w:val="clear" w:color="auto" w:fill="auto"/>
            <w:vAlign w:val="center"/>
          </w:tcPr>
          <w:p w14:paraId="5241244B">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对统计调查对象依法提供统计资料情况的检查</w:t>
            </w:r>
          </w:p>
        </w:tc>
        <w:tc>
          <w:tcPr>
            <w:tcW w:w="1800" w:type="dxa"/>
            <w:shd w:val="clear" w:color="auto" w:fill="auto"/>
            <w:vAlign w:val="center"/>
          </w:tcPr>
          <w:p w14:paraId="1C03D95A">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国家机关、企业事业单位或者其他组织</w:t>
            </w:r>
          </w:p>
        </w:tc>
        <w:tc>
          <w:tcPr>
            <w:tcW w:w="4786" w:type="dxa"/>
            <w:shd w:val="clear" w:color="auto" w:fill="auto"/>
            <w:vAlign w:val="center"/>
          </w:tcPr>
          <w:p w14:paraId="61B24434">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《中华人民共和国统计法》第三十六条</w:t>
            </w:r>
          </w:p>
        </w:tc>
        <w:tc>
          <w:tcPr>
            <w:tcW w:w="1383" w:type="dxa"/>
            <w:shd w:val="clear" w:color="auto" w:fill="auto"/>
            <w:vAlign w:val="center"/>
          </w:tcPr>
          <w:p w14:paraId="1AC0C1CF">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0D2B8EE8">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50842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404" w:hRule="atLeast"/>
        </w:trPr>
        <w:tc>
          <w:tcPr>
            <w:tcW w:w="790" w:type="dxa"/>
            <w:shd w:val="clear" w:color="auto" w:fill="auto"/>
            <w:vAlign w:val="center"/>
          </w:tcPr>
          <w:p w14:paraId="2222F08C">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61</w:t>
            </w:r>
          </w:p>
        </w:tc>
        <w:tc>
          <w:tcPr>
            <w:tcW w:w="1670" w:type="dxa"/>
            <w:vMerge w:val="continue"/>
            <w:shd w:val="clear" w:color="auto" w:fill="auto"/>
            <w:vAlign w:val="center"/>
          </w:tcPr>
          <w:p w14:paraId="59170783">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c>
          <w:tcPr>
            <w:tcW w:w="3210" w:type="dxa"/>
            <w:shd w:val="clear" w:color="auto" w:fill="auto"/>
            <w:vAlign w:val="center"/>
          </w:tcPr>
          <w:p w14:paraId="411B7D1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对统计调查对象依法建立原始记录、统计台账和统计资料管理制度情况检查</w:t>
            </w:r>
          </w:p>
        </w:tc>
        <w:tc>
          <w:tcPr>
            <w:tcW w:w="1800" w:type="dxa"/>
            <w:shd w:val="clear" w:color="auto" w:fill="auto"/>
            <w:vAlign w:val="center"/>
          </w:tcPr>
          <w:p w14:paraId="5F6E1F21">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国家机关、企业事业单位或者其他组织</w:t>
            </w:r>
          </w:p>
        </w:tc>
        <w:tc>
          <w:tcPr>
            <w:tcW w:w="4786" w:type="dxa"/>
            <w:shd w:val="clear" w:color="auto" w:fill="auto"/>
            <w:vAlign w:val="center"/>
          </w:tcPr>
          <w:p w14:paraId="790B0C84">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《中华人民共和国统计法》第三十六条</w:t>
            </w:r>
          </w:p>
        </w:tc>
        <w:tc>
          <w:tcPr>
            <w:tcW w:w="1383" w:type="dxa"/>
            <w:shd w:val="clear" w:color="auto" w:fill="auto"/>
            <w:vAlign w:val="center"/>
          </w:tcPr>
          <w:p w14:paraId="5BD4D01F">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5DC7476C">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p>
        </w:tc>
      </w:tr>
      <w:tr w14:paraId="56487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184" w:hRule="atLeast"/>
        </w:trPr>
        <w:tc>
          <w:tcPr>
            <w:tcW w:w="790" w:type="dxa"/>
            <w:shd w:val="clear" w:color="auto" w:fill="auto"/>
            <w:vAlign w:val="center"/>
          </w:tcPr>
          <w:p w14:paraId="0F8A5725">
            <w:pPr>
              <w:keepNext w:val="0"/>
              <w:keepLines w:val="0"/>
              <w:widowControl/>
              <w:suppressLineNumbers w:val="0"/>
              <w:kinsoku/>
              <w:autoSpaceDE/>
              <w:autoSpaceDN/>
              <w:adjustRightInd/>
              <w:snapToGrid/>
              <w:spacing w:line="240" w:lineRule="auto"/>
              <w:jc w:val="center"/>
              <w:textAlignment w:val="center"/>
              <w:rPr>
                <w:rFonts w:hint="default"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62</w:t>
            </w:r>
          </w:p>
        </w:tc>
        <w:tc>
          <w:tcPr>
            <w:tcW w:w="1670" w:type="dxa"/>
            <w:shd w:val="clear" w:color="auto" w:fill="auto"/>
            <w:vAlign w:val="center"/>
          </w:tcPr>
          <w:p w14:paraId="677B7F6F">
            <w:pPr>
              <w:keepNext w:val="0"/>
              <w:keepLines w:val="0"/>
              <w:widowControl/>
              <w:suppressLineNumbers w:val="0"/>
              <w:kinsoku/>
              <w:autoSpaceDE/>
              <w:autoSpaceDN/>
              <w:adjustRightInd/>
              <w:snapToGrid/>
              <w:spacing w:line="240" w:lineRule="auto"/>
              <w:jc w:val="left"/>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济南市历下区投资促进局（1）</w:t>
            </w:r>
          </w:p>
        </w:tc>
        <w:tc>
          <w:tcPr>
            <w:tcW w:w="3210" w:type="dxa"/>
            <w:shd w:val="clear" w:color="auto" w:fill="auto"/>
            <w:vAlign w:val="center"/>
          </w:tcPr>
          <w:p w14:paraId="5B14EB58">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default" w:ascii="仿宋_GB2312" w:hAnsi="宋体" w:eastAsia="仿宋_GB2312" w:cs="仿宋_GB2312"/>
                <w:b/>
                <w:bCs/>
                <w:i w:val="0"/>
                <w:iCs w:val="0"/>
                <w:snapToGrid/>
                <w:color w:val="000000"/>
                <w:kern w:val="0"/>
                <w:sz w:val="24"/>
                <w:szCs w:val="24"/>
                <w:u w:val="none"/>
                <w:lang w:val="en-US" w:eastAsia="zh-CN" w:bidi="ar"/>
              </w:rPr>
              <w:t>对外商投资信息报告的监督检查</w:t>
            </w:r>
          </w:p>
        </w:tc>
        <w:tc>
          <w:tcPr>
            <w:tcW w:w="1800" w:type="dxa"/>
            <w:shd w:val="clear" w:color="auto" w:fill="auto"/>
            <w:vAlign w:val="center"/>
          </w:tcPr>
          <w:p w14:paraId="03E362CA">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default" w:ascii="仿宋_GB2312" w:hAnsi="宋体" w:eastAsia="仿宋_GB2312" w:cs="仿宋_GB2312"/>
                <w:b/>
                <w:bCs/>
                <w:i w:val="0"/>
                <w:iCs w:val="0"/>
                <w:snapToGrid/>
                <w:color w:val="000000"/>
                <w:kern w:val="0"/>
                <w:sz w:val="24"/>
                <w:szCs w:val="24"/>
                <w:u w:val="none"/>
                <w:lang w:val="en-US" w:eastAsia="zh-CN" w:bidi="ar"/>
              </w:rPr>
              <w:t>外商投资企业（机构）</w:t>
            </w:r>
          </w:p>
        </w:tc>
        <w:tc>
          <w:tcPr>
            <w:tcW w:w="4786" w:type="dxa"/>
            <w:shd w:val="clear" w:color="auto" w:fill="auto"/>
            <w:vAlign w:val="center"/>
          </w:tcPr>
          <w:p w14:paraId="2900A5F0">
            <w:pPr>
              <w:keepNext w:val="0"/>
              <w:keepLines w:val="0"/>
              <w:widowControl/>
              <w:suppressLineNumbers w:val="0"/>
              <w:kinsoku/>
              <w:autoSpaceDE/>
              <w:autoSpaceDN/>
              <w:adjustRightInd/>
              <w:snapToGrid/>
              <w:spacing w:line="240" w:lineRule="auto"/>
              <w:jc w:val="both"/>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default" w:ascii="仿宋_GB2312" w:hAnsi="宋体" w:eastAsia="仿宋_GB2312" w:cs="仿宋_GB2312"/>
                <w:b/>
                <w:bCs/>
                <w:i w:val="0"/>
                <w:iCs w:val="0"/>
                <w:snapToGrid/>
                <w:color w:val="000000"/>
                <w:kern w:val="0"/>
                <w:sz w:val="24"/>
                <w:szCs w:val="24"/>
                <w:u w:val="none"/>
                <w:lang w:val="en-US" w:eastAsia="zh-CN" w:bidi="ar"/>
              </w:rPr>
              <w:t>《外商投资信息报告办法》第二十条、第二十一条、第二十二条。</w:t>
            </w:r>
          </w:p>
        </w:tc>
        <w:tc>
          <w:tcPr>
            <w:tcW w:w="1383" w:type="dxa"/>
            <w:shd w:val="clear" w:color="auto" w:fill="auto"/>
            <w:vAlign w:val="center"/>
          </w:tcPr>
          <w:p w14:paraId="2587BB27">
            <w:pPr>
              <w:keepNext w:val="0"/>
              <w:keepLines w:val="0"/>
              <w:widowControl/>
              <w:suppressLineNumbers w:val="0"/>
              <w:kinsoku/>
              <w:autoSpaceDE/>
              <w:autoSpaceDN/>
              <w:adjustRightInd/>
              <w:snapToGrid/>
              <w:spacing w:line="240" w:lineRule="auto"/>
              <w:jc w:val="center"/>
              <w:textAlignment w:val="center"/>
              <w:rPr>
                <w:rFonts w:hint="eastAsia" w:ascii="仿宋_GB2312" w:hAnsi="宋体" w:eastAsia="仿宋_GB2312" w:cs="仿宋_GB2312"/>
                <w:b/>
                <w:bCs/>
                <w:i w:val="0"/>
                <w:iCs w:val="0"/>
                <w:snapToGrid/>
                <w:color w:val="000000"/>
                <w:kern w:val="0"/>
                <w:sz w:val="24"/>
                <w:szCs w:val="24"/>
                <w:u w:val="none"/>
                <w:lang w:val="en-US" w:eastAsia="zh-CN" w:bidi="ar"/>
              </w:rPr>
            </w:pPr>
            <w:r>
              <w:rPr>
                <w:rFonts w:hint="eastAsia" w:ascii="仿宋_GB2312" w:hAnsi="宋体" w:eastAsia="仿宋_GB2312" w:cs="仿宋_GB2312"/>
                <w:b/>
                <w:bCs/>
                <w:i w:val="0"/>
                <w:iCs w:val="0"/>
                <w:snapToGrid/>
                <w:color w:val="000000"/>
                <w:kern w:val="0"/>
                <w:sz w:val="24"/>
                <w:szCs w:val="24"/>
                <w:u w:val="none"/>
                <w:lang w:val="en-US" w:eastAsia="zh-CN" w:bidi="ar"/>
              </w:rPr>
              <w:t>类型一</w:t>
            </w:r>
          </w:p>
        </w:tc>
        <w:tc>
          <w:tcPr>
            <w:tcW w:w="869" w:type="dxa"/>
            <w:shd w:val="clear" w:color="auto" w:fill="auto"/>
            <w:vAlign w:val="center"/>
          </w:tcPr>
          <w:p w14:paraId="0C967A57">
            <w:pPr>
              <w:widowControl w:val="0"/>
              <w:jc w:val="center"/>
              <w:rPr>
                <w:rFonts w:hint="eastAsia" w:ascii="仿宋_GB2312" w:hAnsi="仿宋_GB2312" w:eastAsia="仿宋_GB2312" w:cs="仿宋_GB2312"/>
                <w:snapToGrid w:val="0"/>
                <w:color w:val="000000"/>
                <w:kern w:val="0"/>
                <w:sz w:val="32"/>
                <w:szCs w:val="32"/>
                <w:highlight w:val="none"/>
                <w:vertAlign w:val="baseline"/>
                <w:lang w:val="en-US" w:eastAsia="zh-CN" w:bidi="ar-SA"/>
              </w:rPr>
            </w:pPr>
          </w:p>
        </w:tc>
      </w:tr>
    </w:tbl>
    <w:p w14:paraId="2C3A8443">
      <w:pPr>
        <w:pStyle w:val="2"/>
        <w:keepNext w:val="0"/>
        <w:keepLines w:val="0"/>
        <w:pageBreakBefore w:val="0"/>
        <w:widowControl/>
        <w:kinsoku/>
        <w:wordWrap/>
        <w:overflowPunct/>
        <w:topLinePunct w:val="0"/>
        <w:autoSpaceDE w:val="0"/>
        <w:autoSpaceDN w:val="0"/>
        <w:bidi w:val="0"/>
        <w:adjustRightInd w:val="0"/>
        <w:snapToGrid w:val="0"/>
        <w:spacing w:before="164" w:line="592" w:lineRule="exact"/>
        <w:textAlignment w:val="baseline"/>
        <w:rPr>
          <w:rFonts w:hint="eastAsia" w:ascii="仿宋_GB2312" w:hAnsi="仿宋_GB2312" w:eastAsia="仿宋_GB2312" w:cs="仿宋_GB2312"/>
          <w:sz w:val="21"/>
          <w:szCs w:val="21"/>
        </w:rPr>
      </w:pPr>
    </w:p>
    <w:sectPr>
      <w:footerReference r:id="rId5" w:type="default"/>
      <w:pgSz w:w="16490" w:h="11560" w:orient="landscape"/>
      <w:pgMar w:top="1587" w:right="1417" w:bottom="1474" w:left="1191" w:header="0" w:footer="0" w:gutter="0"/>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28C0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177BDE33"/>
    <w:rsid w:val="18F7925C"/>
    <w:rsid w:val="19EFDD52"/>
    <w:rsid w:val="1C6D66C4"/>
    <w:rsid w:val="1DFD5ED2"/>
    <w:rsid w:val="2E3FAB97"/>
    <w:rsid w:val="2EDEEE7D"/>
    <w:rsid w:val="2FFB4EFE"/>
    <w:rsid w:val="33F9B6AC"/>
    <w:rsid w:val="37F7F18E"/>
    <w:rsid w:val="39F62BB0"/>
    <w:rsid w:val="39F7AA63"/>
    <w:rsid w:val="3B36507B"/>
    <w:rsid w:val="3B3D34EB"/>
    <w:rsid w:val="3BEF7F7B"/>
    <w:rsid w:val="3BF75262"/>
    <w:rsid w:val="3DDF41BF"/>
    <w:rsid w:val="3DFDA4E0"/>
    <w:rsid w:val="3EBDE010"/>
    <w:rsid w:val="3EFB1841"/>
    <w:rsid w:val="3F1F81ED"/>
    <w:rsid w:val="3FB7E15E"/>
    <w:rsid w:val="3FDC4B5D"/>
    <w:rsid w:val="41B1D254"/>
    <w:rsid w:val="4B5FA7C8"/>
    <w:rsid w:val="527EF8E7"/>
    <w:rsid w:val="58EF7AFF"/>
    <w:rsid w:val="59F7261D"/>
    <w:rsid w:val="59FABD4D"/>
    <w:rsid w:val="5BB73A89"/>
    <w:rsid w:val="5BBE99B8"/>
    <w:rsid w:val="5D1D0705"/>
    <w:rsid w:val="5DFE722A"/>
    <w:rsid w:val="5F3FD01F"/>
    <w:rsid w:val="5F425661"/>
    <w:rsid w:val="5F5F09E9"/>
    <w:rsid w:val="5FEFAF41"/>
    <w:rsid w:val="5FFEDCD9"/>
    <w:rsid w:val="61BECE76"/>
    <w:rsid w:val="6667F89D"/>
    <w:rsid w:val="67DE3BB2"/>
    <w:rsid w:val="6ADF0D8A"/>
    <w:rsid w:val="6BABBF13"/>
    <w:rsid w:val="6CFA48C6"/>
    <w:rsid w:val="6E1D3FFB"/>
    <w:rsid w:val="6E3FE66C"/>
    <w:rsid w:val="6EEA4744"/>
    <w:rsid w:val="6EFF2BB3"/>
    <w:rsid w:val="6F5F17AA"/>
    <w:rsid w:val="6F7ED977"/>
    <w:rsid w:val="6FD49791"/>
    <w:rsid w:val="6FE70C18"/>
    <w:rsid w:val="6FFE8F7B"/>
    <w:rsid w:val="70CF43B0"/>
    <w:rsid w:val="71E630C6"/>
    <w:rsid w:val="74FED330"/>
    <w:rsid w:val="75FFA28B"/>
    <w:rsid w:val="76B55081"/>
    <w:rsid w:val="77BEB86C"/>
    <w:rsid w:val="79A19324"/>
    <w:rsid w:val="79FE3391"/>
    <w:rsid w:val="7ADF3C02"/>
    <w:rsid w:val="7B7FFC35"/>
    <w:rsid w:val="7BD75282"/>
    <w:rsid w:val="7BFB469C"/>
    <w:rsid w:val="7CCBBBC1"/>
    <w:rsid w:val="7D3F508B"/>
    <w:rsid w:val="7D7FA4AD"/>
    <w:rsid w:val="7DCFA568"/>
    <w:rsid w:val="7DDF4CC1"/>
    <w:rsid w:val="7DF3F800"/>
    <w:rsid w:val="7E6F6C00"/>
    <w:rsid w:val="7ED68ADA"/>
    <w:rsid w:val="7F55A9F8"/>
    <w:rsid w:val="7F97471C"/>
    <w:rsid w:val="7FB7F6DA"/>
    <w:rsid w:val="7FBC2853"/>
    <w:rsid w:val="7FBFB0D6"/>
    <w:rsid w:val="7FFA0E78"/>
    <w:rsid w:val="7FFAE58F"/>
    <w:rsid w:val="7FFE9973"/>
    <w:rsid w:val="7FFF73AB"/>
    <w:rsid w:val="7FFF7FEA"/>
    <w:rsid w:val="9DFB0ACD"/>
    <w:rsid w:val="9F7F0A9A"/>
    <w:rsid w:val="A5B7D446"/>
    <w:rsid w:val="A67D0DC0"/>
    <w:rsid w:val="A76780AA"/>
    <w:rsid w:val="A9BABD0D"/>
    <w:rsid w:val="AEFA6B3D"/>
    <w:rsid w:val="AF7E0CE7"/>
    <w:rsid w:val="AFF727C8"/>
    <w:rsid w:val="B5EE24F3"/>
    <w:rsid w:val="B7E366D7"/>
    <w:rsid w:val="B7E75C0A"/>
    <w:rsid w:val="BAE74034"/>
    <w:rsid w:val="BBFED3F7"/>
    <w:rsid w:val="BBFF468E"/>
    <w:rsid w:val="BC6BF4B4"/>
    <w:rsid w:val="BCB6DC48"/>
    <w:rsid w:val="BCDF635A"/>
    <w:rsid w:val="BDBF668A"/>
    <w:rsid w:val="BDF5E420"/>
    <w:rsid w:val="BF7C4F37"/>
    <w:rsid w:val="BF9E6659"/>
    <w:rsid w:val="D3F7AA43"/>
    <w:rsid w:val="D78E6660"/>
    <w:rsid w:val="D7AB88D8"/>
    <w:rsid w:val="DB77EDF5"/>
    <w:rsid w:val="DBFAFA7A"/>
    <w:rsid w:val="DE719110"/>
    <w:rsid w:val="DEDFC97D"/>
    <w:rsid w:val="DEFB1CDF"/>
    <w:rsid w:val="DF6F67C3"/>
    <w:rsid w:val="DFBF05C8"/>
    <w:rsid w:val="DFBFFE5D"/>
    <w:rsid w:val="DFE75514"/>
    <w:rsid w:val="E5DD2C04"/>
    <w:rsid w:val="E734FA7B"/>
    <w:rsid w:val="E7DA954F"/>
    <w:rsid w:val="E97F092A"/>
    <w:rsid w:val="ED3C31D6"/>
    <w:rsid w:val="ED4770A0"/>
    <w:rsid w:val="ED7B8394"/>
    <w:rsid w:val="EDFBCFE7"/>
    <w:rsid w:val="EDFF31AB"/>
    <w:rsid w:val="EDFF64E6"/>
    <w:rsid w:val="EEDB710C"/>
    <w:rsid w:val="EF7DEFFE"/>
    <w:rsid w:val="EFD66490"/>
    <w:rsid w:val="EFFB20FB"/>
    <w:rsid w:val="EFFD9EDB"/>
    <w:rsid w:val="F3ED2850"/>
    <w:rsid w:val="F723B066"/>
    <w:rsid w:val="F7AFCFD5"/>
    <w:rsid w:val="F7DE3B37"/>
    <w:rsid w:val="F7DE8E5E"/>
    <w:rsid w:val="F7DF1F23"/>
    <w:rsid w:val="F9DB225C"/>
    <w:rsid w:val="F9F55CDA"/>
    <w:rsid w:val="FBFB8C63"/>
    <w:rsid w:val="FBFE4356"/>
    <w:rsid w:val="FBFEA012"/>
    <w:rsid w:val="FCFFB904"/>
    <w:rsid w:val="FCFFED4E"/>
    <w:rsid w:val="FD8F1C09"/>
    <w:rsid w:val="FDBB3353"/>
    <w:rsid w:val="FDFE7B08"/>
    <w:rsid w:val="FE2378B4"/>
    <w:rsid w:val="FE43F198"/>
    <w:rsid w:val="FEF0D5F0"/>
    <w:rsid w:val="FEF61E7B"/>
    <w:rsid w:val="FF449870"/>
    <w:rsid w:val="FFD151DF"/>
    <w:rsid w:val="FFD60D82"/>
    <w:rsid w:val="FFD75567"/>
    <w:rsid w:val="FFEE48C0"/>
    <w:rsid w:val="FFEFBF70"/>
    <w:rsid w:val="FFFA7A73"/>
    <w:rsid w:val="FFFD03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table" w:styleId="4">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Pages>
  <Words>1820</Words>
  <Characters>1898</Characters>
  <TotalTime>19</TotalTime>
  <ScaleCrop>false</ScaleCrop>
  <LinksUpToDate>false</LinksUpToDate>
  <CharactersWithSpaces>2014</CharactersWithSpaces>
  <Application>WPS Office_12.8.2.1119_F1E327BC-269C-435d-A152-05C5408002CA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2025-04-27T06:28:00Z</dcterms:created>
  <dc:creator>Administrator</dc:creator>
  <cp:lastModifiedBy>user</cp:lastModifiedBy>
  <dcterms:modified xsi:type="dcterms:W3CDTF">2026-04-17T11:11:05Z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2025-04-18T14:28:27Z</vt:filetime>
  </property>
  <property fmtid="{D5CDD505-2E9C-101B-9397-08002B2CF9AE}" pid="4" name="UsrData">
    <vt:lpwstr>6801f108428e8c00201fb398wl</vt:lpwstr>
  </property>
  <property fmtid="{D5CDD505-2E9C-101B-9397-08002B2CF9AE}" pid="5" name="KSOTemplateDocerSaveRecord">
    <vt:lpwstr>eyJoZGlkIjoiZDEyNzMxZWE1ZmM1NjIzNDYyY2I5OGQzZTY2ZmRmMzIiLCJ1c2VySWQiOiIyNTA4MTU1NTAifQ==</vt:lpwstr>
  </property>
  <property fmtid="{D5CDD505-2E9C-101B-9397-08002B2CF9AE}" pid="6" name="KSOProductBuildVer">
    <vt:lpwstr>2052-12.8.2.1119</vt:lpwstr>
  </property>
  <property fmtid="{D5CDD505-2E9C-101B-9397-08002B2CF9AE}" pid="7" name="ICV">
    <vt:lpwstr>FBBD1A1021E14002838C57796AE32242_12</vt:lpwstr>
  </property>
</Properties>
</file>