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jc w:val="left"/>
        <w:textAlignment w:val="auto"/>
        <w:rPr>
          <w:rFonts w:hint="eastAsia" w:ascii="黑体" w:hAnsi="黑体" w:eastAsia="黑体" w:cs="黑体"/>
          <w:b w:val="0"/>
          <w:bCs/>
          <w:color w:val="auto"/>
          <w:sz w:val="32"/>
          <w:szCs w:val="32"/>
          <w:highlight w:val="none"/>
          <w:lang w:val="en-US" w:eastAsia="zh-CN"/>
        </w:rPr>
      </w:pPr>
      <w:r>
        <w:rPr>
          <w:rFonts w:hint="eastAsia" w:ascii="黑体" w:hAnsi="黑体" w:eastAsia="黑体" w:cs="黑体"/>
          <w:b w:val="0"/>
          <w:bCs/>
          <w:color w:val="auto"/>
          <w:sz w:val="32"/>
          <w:szCs w:val="32"/>
          <w:highlight w:val="none"/>
          <w:lang w:eastAsia="zh-CN"/>
        </w:rPr>
        <w:t>附件</w:t>
      </w: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方正小标宋_GBK" w:hAnsi="方正小标宋_GBK" w:eastAsia="方正小标宋_GBK" w:cs="方正小标宋_GBK"/>
          <w:b w:val="0"/>
          <w:bCs/>
          <w:i w:val="0"/>
          <w:caps w:val="0"/>
          <w:color w:val="auto"/>
          <w:spacing w:val="0"/>
          <w:sz w:val="44"/>
          <w:szCs w:val="44"/>
          <w:highlight w:val="none"/>
          <w:shd w:val="clear"/>
        </w:rPr>
      </w:pPr>
      <w:r>
        <w:rPr>
          <w:rFonts w:hint="eastAsia" w:ascii="方正小标宋_GBK" w:hAnsi="方正小标宋_GBK" w:eastAsia="方正小标宋_GBK" w:cs="方正小标宋_GBK"/>
          <w:b w:val="0"/>
          <w:bCs/>
          <w:color w:val="auto"/>
          <w:sz w:val="44"/>
          <w:szCs w:val="44"/>
          <w:highlight w:val="none"/>
          <w:lang w:eastAsia="zh-CN"/>
        </w:rPr>
        <w:t>《</w:t>
      </w:r>
      <w:r>
        <w:rPr>
          <w:rFonts w:hint="eastAsia" w:ascii="方正小标宋_GBK" w:hAnsi="方正小标宋_GBK" w:eastAsia="方正小标宋_GBK" w:cs="方正小标宋_GBK"/>
          <w:b w:val="0"/>
          <w:bCs/>
          <w:color w:val="auto"/>
          <w:sz w:val="44"/>
          <w:szCs w:val="44"/>
          <w:highlight w:val="none"/>
        </w:rPr>
        <w:t>山东省公共资源交易信用管理办法</w:t>
      </w:r>
      <w:r>
        <w:rPr>
          <w:rFonts w:hint="eastAsia" w:ascii="方正小标宋_GBK" w:hAnsi="方正小标宋_GBK" w:eastAsia="方正小标宋_GBK" w:cs="方正小标宋_GBK"/>
          <w:b w:val="0"/>
          <w:bCs/>
          <w:color w:val="auto"/>
          <w:sz w:val="44"/>
          <w:szCs w:val="44"/>
          <w:highlight w:val="none"/>
          <w:lang w:eastAsia="zh-CN"/>
        </w:rPr>
        <w:t>》</w:t>
      </w:r>
      <w:r>
        <w:rPr>
          <w:rFonts w:hint="eastAsia" w:ascii="方正小标宋_GBK" w:hAnsi="方正小标宋_GBK" w:eastAsia="方正小标宋_GBK" w:cs="方正小标宋_GBK"/>
          <w:b w:val="0"/>
          <w:bCs/>
          <w:i w:val="0"/>
          <w:caps w:val="0"/>
          <w:color w:val="auto"/>
          <w:spacing w:val="0"/>
          <w:sz w:val="44"/>
          <w:szCs w:val="44"/>
          <w:highlight w:val="none"/>
          <w:shd w:val="clear"/>
        </w:rPr>
        <w:t>修改对照表</w:t>
      </w:r>
    </w:p>
    <w:tbl>
      <w:tblPr>
        <w:tblStyle w:val="6"/>
        <w:tblpPr w:leftFromText="180" w:rightFromText="180" w:vertAnchor="text" w:horzAnchor="page" w:tblpX="969" w:tblpY="633"/>
        <w:tblOverlap w:val="never"/>
        <w:tblW w:w="148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6240"/>
        <w:gridCol w:w="7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13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rPr>
              <w:t>序</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号</w:t>
            </w:r>
          </w:p>
        </w:tc>
        <w:tc>
          <w:tcPr>
            <w:tcW w:w="62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黑体" w:hAnsi="黑体" w:eastAsia="黑体" w:cs="黑体"/>
                <w:b w:val="0"/>
                <w:bCs/>
                <w:color w:val="auto"/>
                <w:sz w:val="28"/>
                <w:szCs w:val="28"/>
                <w:lang w:eastAsia="zh-CN"/>
              </w:rPr>
            </w:pPr>
            <w:r>
              <w:rPr>
                <w:rFonts w:hint="eastAsia" w:ascii="黑体" w:hAnsi="黑体" w:eastAsia="黑体" w:cs="黑体"/>
                <w:b w:val="0"/>
                <w:bCs/>
                <w:color w:val="auto"/>
                <w:sz w:val="28"/>
                <w:szCs w:val="28"/>
                <w:lang w:eastAsia="zh-CN"/>
              </w:rPr>
              <w:t>现行规定</w:t>
            </w:r>
          </w:p>
        </w:tc>
        <w:tc>
          <w:tcPr>
            <w:tcW w:w="732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rPr>
              <w:t>修改后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879" w:type="dxa"/>
            <w:gridSpan w:val="3"/>
            <w:vAlign w:val="center"/>
          </w:tcPr>
          <w:p>
            <w:pPr>
              <w:spacing w:line="360" w:lineRule="exact"/>
              <w:jc w:val="center"/>
              <w:rPr>
                <w:rFonts w:hint="default" w:asciiTheme="minorEastAsia" w:hAnsiTheme="minorEastAsia" w:eastAsiaTheme="minorEastAsia" w:cstheme="minorEastAsia"/>
                <w:color w:val="auto"/>
                <w:sz w:val="21"/>
                <w:szCs w:val="21"/>
                <w:lang w:val="en-US"/>
              </w:rPr>
            </w:pPr>
            <w:r>
              <w:rPr>
                <w:rFonts w:hint="eastAsia" w:asciiTheme="minorEastAsia" w:hAnsiTheme="minorEastAsia" w:eastAsiaTheme="minorEastAsia" w:cstheme="minorEastAsia"/>
                <w:color w:val="auto"/>
                <w:sz w:val="21"/>
                <w:szCs w:val="21"/>
                <w:lang w:eastAsia="zh-CN"/>
              </w:rPr>
              <w:t>第一章</w:t>
            </w:r>
            <w:r>
              <w:rPr>
                <w:rFonts w:hint="eastAsia" w:asciiTheme="minorEastAsia" w:hAnsiTheme="minorEastAsia" w:cstheme="minorEastAsia"/>
                <w:color w:val="auto"/>
                <w:sz w:val="21"/>
                <w:szCs w:val="21"/>
                <w:lang w:val="en-US" w:eastAsia="zh-CN"/>
              </w:rPr>
              <w:t xml:space="preserve">  总则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eastAsia="zh-CN"/>
              </w:rPr>
              <w:t>第一条</w:t>
            </w:r>
          </w:p>
        </w:tc>
        <w:tc>
          <w:tcPr>
            <w:tcW w:w="6240" w:type="dxa"/>
            <w:vAlign w:val="center"/>
          </w:tcPr>
          <w:p>
            <w:pPr>
              <w:spacing w:line="360" w:lineRule="exact"/>
              <w:ind w:firstLine="420" w:firstLineChars="200"/>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第一条　为</w:t>
            </w:r>
            <w:r>
              <w:rPr>
                <w:rFonts w:hint="eastAsia" w:asciiTheme="minorEastAsia" w:hAnsiTheme="minorEastAsia" w:eastAsiaTheme="minorEastAsia" w:cstheme="minorEastAsia"/>
                <w:color w:val="auto"/>
                <w:sz w:val="21"/>
                <w:szCs w:val="21"/>
                <w:u w:val="single"/>
              </w:rPr>
              <w:t>加强</w:t>
            </w:r>
            <w:r>
              <w:rPr>
                <w:rFonts w:hint="eastAsia" w:asciiTheme="minorEastAsia" w:hAnsiTheme="minorEastAsia" w:eastAsiaTheme="minorEastAsia" w:cstheme="minorEastAsia"/>
                <w:color w:val="auto"/>
                <w:sz w:val="21"/>
                <w:szCs w:val="21"/>
              </w:rPr>
              <w:t>全省公共资源交易信用管理，</w:t>
            </w:r>
            <w:r>
              <w:rPr>
                <w:rFonts w:hint="eastAsia" w:asciiTheme="minorEastAsia" w:hAnsiTheme="minorEastAsia" w:eastAsiaTheme="minorEastAsia" w:cstheme="minorEastAsia"/>
                <w:strike/>
                <w:color w:val="auto"/>
                <w:sz w:val="21"/>
                <w:szCs w:val="21"/>
              </w:rPr>
              <w:t>建立健全公共资源交易领域信用激励和惩戒机制，维护统一开放和健康有序的公共资源交易市场，</w:t>
            </w:r>
            <w:r>
              <w:rPr>
                <w:rFonts w:hint="eastAsia" w:asciiTheme="minorEastAsia" w:hAnsiTheme="minorEastAsia" w:eastAsiaTheme="minorEastAsia" w:cstheme="minorEastAsia"/>
                <w:color w:val="auto"/>
                <w:sz w:val="21"/>
                <w:szCs w:val="21"/>
                <w:u w:val="single"/>
              </w:rPr>
              <w:t>根</w:t>
            </w:r>
            <w:r>
              <w:rPr>
                <w:rFonts w:hint="eastAsia" w:asciiTheme="minorEastAsia" w:hAnsiTheme="minorEastAsia" w:eastAsiaTheme="minorEastAsia" w:cstheme="minorEastAsia"/>
                <w:color w:val="auto"/>
                <w:sz w:val="21"/>
                <w:szCs w:val="21"/>
              </w:rPr>
              <w:t>据</w:t>
            </w:r>
            <w:r>
              <w:rPr>
                <w:rFonts w:hint="eastAsia" w:asciiTheme="minorEastAsia" w:hAnsiTheme="minorEastAsia" w:eastAsiaTheme="minorEastAsia" w:cstheme="minorEastAsia"/>
                <w:strike/>
                <w:color w:val="auto"/>
                <w:sz w:val="21"/>
                <w:szCs w:val="21"/>
              </w:rPr>
              <w:t>有关法律法规和国家发展改革委等24部门《印发〈关于对公共资源交易领域严重失信主体开展联合惩戒的备忘录〉的通知》（发改法规〔2018〕457号）《山东省公共信用信息管理办法》（山东省人民政府令第314号）《山东省人民政府关于印发〈山东省公共资源交易平台管理暂行办法〉〈山东省公共资源交易综合评标评审专家库和专家管理暂行办法〉的通知》（鲁政字〔2016〕218号）等规定，</w:t>
            </w:r>
            <w:r>
              <w:rPr>
                <w:rFonts w:hint="eastAsia" w:asciiTheme="minorEastAsia" w:hAnsiTheme="minorEastAsia" w:eastAsiaTheme="minorEastAsia" w:cstheme="minorEastAsia"/>
                <w:color w:val="auto"/>
                <w:sz w:val="21"/>
                <w:szCs w:val="21"/>
              </w:rPr>
              <w:t>结合实际，制定本办法。</w:t>
            </w:r>
          </w:p>
        </w:tc>
        <w:tc>
          <w:tcPr>
            <w:tcW w:w="7320" w:type="dxa"/>
            <w:vAlign w:val="center"/>
          </w:tcPr>
          <w:p>
            <w:pPr>
              <w:spacing w:line="360" w:lineRule="exact"/>
              <w:ind w:firstLine="420" w:firstLineChars="200"/>
              <w:jc w:val="both"/>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第一条　为加强</w:t>
            </w:r>
            <w:r>
              <w:rPr>
                <w:rFonts w:hint="eastAsia" w:asciiTheme="minorEastAsia" w:hAnsiTheme="minorEastAsia" w:eastAsiaTheme="minorEastAsia" w:cstheme="minorEastAsia"/>
                <w:b/>
                <w:bCs/>
                <w:color w:val="auto"/>
                <w:sz w:val="21"/>
                <w:szCs w:val="21"/>
                <w:u w:val="none"/>
              </w:rPr>
              <w:t>和规范</w:t>
            </w:r>
            <w:r>
              <w:rPr>
                <w:rFonts w:hint="eastAsia" w:asciiTheme="minorEastAsia" w:hAnsiTheme="minorEastAsia" w:eastAsiaTheme="minorEastAsia" w:cstheme="minorEastAsia"/>
                <w:color w:val="auto"/>
                <w:sz w:val="21"/>
                <w:szCs w:val="21"/>
              </w:rPr>
              <w:t>全省公共资源交易领域信用管理，</w:t>
            </w:r>
            <w:r>
              <w:rPr>
                <w:rFonts w:hint="eastAsia" w:asciiTheme="minorEastAsia" w:hAnsiTheme="minorEastAsia" w:eastAsiaTheme="minorEastAsia" w:cstheme="minorEastAsia"/>
                <w:color w:val="auto"/>
                <w:sz w:val="21"/>
                <w:szCs w:val="21"/>
                <w:lang w:eastAsia="zh-CN"/>
              </w:rPr>
              <w:t>根</w:t>
            </w:r>
            <w:r>
              <w:rPr>
                <w:rFonts w:hint="eastAsia" w:asciiTheme="minorEastAsia" w:hAnsiTheme="minorEastAsia" w:eastAsiaTheme="minorEastAsia" w:cstheme="minorEastAsia"/>
                <w:color w:val="auto"/>
                <w:sz w:val="21"/>
                <w:szCs w:val="21"/>
              </w:rPr>
              <w:t>据国家有关法律法规和《山东省社会信用条例》《山东省公共资源交易平台管理办法》等规定，结合实际，制定本办法。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19" w:type="dxa"/>
            <w:vAlign w:val="center"/>
          </w:tcPr>
          <w:p>
            <w:pPr>
              <w:spacing w:line="360" w:lineRule="exact"/>
              <w:jc w:val="cente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第二条</w:t>
            </w:r>
          </w:p>
          <w:p>
            <w:pPr>
              <w:pStyle w:val="2"/>
              <w:rPr>
                <w:rFonts w:hint="eastAsia" w:asciiTheme="minorEastAsia" w:hAnsiTheme="minorEastAsia" w:eastAsiaTheme="minorEastAsia" w:cstheme="minorEastAsia"/>
                <w:color w:val="auto"/>
                <w:sz w:val="21"/>
                <w:szCs w:val="21"/>
                <w:lang w:eastAsia="zh-CN"/>
              </w:rPr>
            </w:pPr>
          </w:p>
          <w:p>
            <w:pPr>
              <w:pStyle w:val="2"/>
              <w:rPr>
                <w:rFonts w:hint="eastAsia" w:asciiTheme="minorEastAsia" w:hAnsiTheme="minorEastAsia" w:eastAsiaTheme="minorEastAsia" w:cstheme="minorEastAsia"/>
                <w:color w:val="auto"/>
                <w:sz w:val="21"/>
                <w:szCs w:val="21"/>
                <w:lang w:val="en-US" w:eastAsia="zh-CN"/>
              </w:rPr>
            </w:pPr>
          </w:p>
        </w:tc>
        <w:tc>
          <w:tcPr>
            <w:tcW w:w="6240" w:type="dxa"/>
            <w:vAlign w:val="center"/>
          </w:tcPr>
          <w:p>
            <w:pPr>
              <w:spacing w:line="360" w:lineRule="exact"/>
              <w:ind w:firstLine="420" w:firstLineChars="200"/>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第二条 本办法适用于全省行政区域内参与公共资源交易活动当事人信用信息的记录、归集、公开、共享、应用和监督管理。</w:t>
            </w:r>
          </w:p>
          <w:p>
            <w:pPr>
              <w:spacing w:line="360" w:lineRule="exact"/>
              <w:ind w:firstLine="420" w:firstLineChars="200"/>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本办法所称公共资源交易是指涉及公共利益、公众安全的具有公有性、公益性的资源交易活动。</w:t>
            </w:r>
          </w:p>
        </w:tc>
        <w:tc>
          <w:tcPr>
            <w:tcW w:w="7320" w:type="dxa"/>
            <w:vAlign w:val="center"/>
          </w:tcPr>
          <w:p>
            <w:pPr>
              <w:spacing w:line="360" w:lineRule="exact"/>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第二条 本办法适用于全省行政区域内参与公共资源交易活动当事人信用信息的记录、归集、公开、共享、应用和监督管理。</w:t>
            </w:r>
          </w:p>
          <w:p>
            <w:pPr>
              <w:spacing w:line="360" w:lineRule="exact"/>
              <w:ind w:firstLine="420" w:firstLineChars="20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rPr>
              <w:t>本办法所称公共资源交易是指涉及公共利益、公众安全的具有公有性、公益性的资源交易活动。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rPr>
        <w:tc>
          <w:tcPr>
            <w:tcW w:w="1319" w:type="dxa"/>
            <w:vAlign w:val="center"/>
          </w:tcPr>
          <w:p>
            <w:pPr>
              <w:spacing w:line="300" w:lineRule="exact"/>
              <w:jc w:val="center"/>
              <w:rPr>
                <w:rFonts w:hint="eastAsia" w:ascii="黑体" w:hAnsi="黑体" w:eastAsia="黑体" w:cs="黑体"/>
                <w:color w:val="auto"/>
                <w:sz w:val="28"/>
                <w:szCs w:val="28"/>
                <w:lang w:eastAsia="zh-CN"/>
              </w:rPr>
            </w:pPr>
            <w:r>
              <w:rPr>
                <w:rFonts w:hint="eastAsia" w:ascii="黑体" w:hAnsi="黑体" w:eastAsia="黑体" w:cs="黑体"/>
                <w:b w:val="0"/>
                <w:bCs/>
                <w:color w:val="auto"/>
                <w:sz w:val="28"/>
                <w:szCs w:val="28"/>
              </w:rPr>
              <w:t>序</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号</w:t>
            </w:r>
          </w:p>
        </w:tc>
        <w:tc>
          <w:tcPr>
            <w:tcW w:w="6240" w:type="dxa"/>
            <w:vAlign w:val="center"/>
          </w:tcPr>
          <w:p>
            <w:pPr>
              <w:spacing w:line="300" w:lineRule="exact"/>
              <w:jc w:val="center"/>
              <w:rPr>
                <w:rFonts w:hint="eastAsia" w:ascii="宋体" w:hAnsi="宋体" w:eastAsia="宋体" w:cs="宋体"/>
                <w:color w:val="auto"/>
                <w:sz w:val="28"/>
                <w:szCs w:val="28"/>
              </w:rPr>
            </w:pPr>
            <w:r>
              <w:rPr>
                <w:rFonts w:hint="eastAsia" w:ascii="黑体" w:hAnsi="黑体" w:eastAsia="黑体" w:cs="黑体"/>
                <w:b w:val="0"/>
                <w:bCs/>
                <w:color w:val="auto"/>
                <w:sz w:val="28"/>
                <w:szCs w:val="28"/>
                <w:lang w:eastAsia="zh-CN"/>
              </w:rPr>
              <w:t>现行规定</w:t>
            </w:r>
          </w:p>
        </w:tc>
        <w:tc>
          <w:tcPr>
            <w:tcW w:w="7320" w:type="dxa"/>
            <w:vAlign w:val="center"/>
          </w:tcPr>
          <w:p>
            <w:pPr>
              <w:spacing w:line="300" w:lineRule="exact"/>
              <w:jc w:val="center"/>
              <w:rPr>
                <w:rFonts w:hint="eastAsia" w:ascii="黑体" w:hAnsi="黑体" w:eastAsia="黑体" w:cs="黑体"/>
                <w:b/>
                <w:bCs/>
                <w:color w:val="auto"/>
                <w:sz w:val="28"/>
                <w:szCs w:val="28"/>
                <w:u w:val="none"/>
              </w:rPr>
            </w:pPr>
            <w:r>
              <w:rPr>
                <w:rFonts w:hint="eastAsia" w:ascii="黑体" w:hAnsi="黑体" w:eastAsia="黑体" w:cs="黑体"/>
                <w:b w:val="0"/>
                <w:bCs/>
                <w:color w:val="auto"/>
                <w:sz w:val="28"/>
                <w:szCs w:val="28"/>
              </w:rPr>
              <w:t>修改后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第二条</w:t>
            </w:r>
          </w:p>
        </w:tc>
        <w:tc>
          <w:tcPr>
            <w:tcW w:w="6240" w:type="dxa"/>
            <w:vAlign w:val="center"/>
          </w:tcPr>
          <w:p>
            <w:pPr>
              <w:spacing w:line="360" w:lineRule="exact"/>
              <w:ind w:firstLine="420" w:firstLineChars="200"/>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本办法所称公共资源交易活动当事人，包括参与公共资源交易活动的招标人、采购人、委托人、出让（转让）人等项目发起方；招标代理机构、政府采购代理机构、拍卖机构等中介代理机构或服务机构；投标人、供应商、竞买人、受让人等项目响应方；评标评审专家以及相关从业人员等。</w:t>
            </w:r>
          </w:p>
          <w:p>
            <w:pPr>
              <w:spacing w:line="360" w:lineRule="exact"/>
              <w:ind w:firstLine="420" w:firstLineChars="200"/>
              <w:jc w:val="left"/>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rPr>
              <w:t>本办法所称信用信息是指公共资源交易活动当事人在公共资源交易活动过程中形成或行政监督管理部门、司法机关以及法律法规授权的具有公共事务管理职能的机构在公共资源交易管理和服务过程中产生或获得的能够反映相关组织或个人信用状况的信息。</w:t>
            </w:r>
          </w:p>
        </w:tc>
        <w:tc>
          <w:tcPr>
            <w:tcW w:w="7320" w:type="dxa"/>
            <w:vAlign w:val="center"/>
          </w:tcPr>
          <w:p>
            <w:pPr>
              <w:spacing w:line="360" w:lineRule="exact"/>
              <w:ind w:firstLine="420" w:firstLineChars="200"/>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办法所称公共资源交易活动当事人，包括参与公共资源交易活动的招标人、采购人、委托人、出让（转让）人等项目发起方；招标代理机构、政府采购代理机构、拍卖机构等中介代理机构或服务机构；投标人、供应商、竞买人、受让人等项目响应方；评标评审专家以及相关从业人员等。</w:t>
            </w:r>
          </w:p>
          <w:p>
            <w:pPr>
              <w:spacing w:line="360" w:lineRule="exact"/>
              <w:ind w:firstLine="420" w:firstLineChars="200"/>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办法所称信用信息是指公共资源交易活动当事人在公共资源交易活动过程中形成或行政监督管理部门、司法机关以及法律法规授权的具有公共事务管理职能的机构在公共资源交易管理和服务过程中产生或获得的能够反映相关组织或个人信用状况的信息。</w:t>
            </w:r>
          </w:p>
          <w:p>
            <w:pPr>
              <w:spacing w:line="360" w:lineRule="exact"/>
              <w:ind w:firstLine="422" w:firstLineChars="200"/>
              <w:jc w:val="left"/>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b/>
                <w:bCs/>
                <w:color w:val="auto"/>
                <w:sz w:val="21"/>
                <w:szCs w:val="21"/>
                <w:u w:val="none"/>
              </w:rPr>
              <w:t>药品和医用耗材交易信用管理，按《国家医疗保障局关于建立医药价格和招采信用评价制度的指导意见》落实。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eastAsia="zh-CN"/>
              </w:rPr>
              <w:t>第三条</w:t>
            </w:r>
          </w:p>
        </w:tc>
        <w:tc>
          <w:tcPr>
            <w:tcW w:w="6240" w:type="dxa"/>
            <w:vAlign w:val="center"/>
          </w:tcPr>
          <w:p>
            <w:pPr>
              <w:spacing w:line="360" w:lineRule="exact"/>
              <w:ind w:firstLine="420" w:firstLineChars="200"/>
              <w:jc w:val="left"/>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第三条 公共资源交易信用管理应当遵循</w:t>
            </w:r>
            <w:r>
              <w:rPr>
                <w:rFonts w:hint="eastAsia" w:asciiTheme="minorEastAsia" w:hAnsiTheme="minorEastAsia" w:eastAsiaTheme="minorEastAsia" w:cstheme="minorEastAsia"/>
                <w:color w:val="auto"/>
                <w:sz w:val="21"/>
                <w:szCs w:val="21"/>
                <w:u w:val="single"/>
                <w:shd w:val="clear" w:color="auto" w:fill="FFFFFF"/>
              </w:rPr>
              <w:t>依法实施、公开透明、互认共享</w:t>
            </w:r>
            <w:r>
              <w:rPr>
                <w:rFonts w:hint="eastAsia" w:asciiTheme="minorEastAsia" w:hAnsiTheme="minorEastAsia" w:eastAsiaTheme="minorEastAsia" w:cstheme="minorEastAsia"/>
                <w:color w:val="auto"/>
                <w:sz w:val="21"/>
                <w:szCs w:val="21"/>
                <w:shd w:val="clear" w:color="auto" w:fill="FFFFFF"/>
              </w:rPr>
              <w:t>的原则，确保信用信息客观、真实、及时、准确。</w:t>
            </w:r>
          </w:p>
          <w:p>
            <w:pPr>
              <w:spacing w:line="360" w:lineRule="exact"/>
              <w:ind w:firstLine="420" w:firstLineChars="200"/>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shd w:val="clear" w:color="auto" w:fill="FFFFFF"/>
              </w:rPr>
              <w:t>除涉及国家秘密、国家安全和依法应受保护的商业秘密、个人隐私外，公共资源交易信用信息应当向社会公开。</w:t>
            </w:r>
          </w:p>
        </w:tc>
        <w:tc>
          <w:tcPr>
            <w:tcW w:w="7320" w:type="dxa"/>
            <w:vAlign w:val="center"/>
          </w:tcPr>
          <w:p>
            <w:pPr>
              <w:spacing w:line="360" w:lineRule="exact"/>
              <w:ind w:firstLine="420" w:firstLineChars="200"/>
              <w:jc w:val="left"/>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第三条 公共资源交易信用管理应当遵循依法实施、公开透明、互认共享、</w:t>
            </w:r>
            <w:r>
              <w:rPr>
                <w:rFonts w:hint="eastAsia" w:asciiTheme="minorEastAsia" w:hAnsiTheme="minorEastAsia" w:eastAsiaTheme="minorEastAsia" w:cstheme="minorEastAsia"/>
                <w:b/>
                <w:bCs/>
                <w:color w:val="auto"/>
                <w:sz w:val="21"/>
                <w:szCs w:val="21"/>
                <w:u w:val="none"/>
                <w:shd w:val="clear"/>
              </w:rPr>
              <w:t>奖惩结合</w:t>
            </w:r>
            <w:r>
              <w:rPr>
                <w:rFonts w:hint="eastAsia" w:asciiTheme="minorEastAsia" w:hAnsiTheme="minorEastAsia" w:eastAsiaTheme="minorEastAsia" w:cstheme="minorEastAsia"/>
                <w:color w:val="auto"/>
                <w:sz w:val="21"/>
                <w:szCs w:val="21"/>
                <w:shd w:val="clear" w:color="auto" w:fill="FFFFFF"/>
              </w:rPr>
              <w:t>的原则，确保信用信息客观、真实、及时、准确。</w:t>
            </w:r>
          </w:p>
          <w:p>
            <w:pPr>
              <w:spacing w:line="360" w:lineRule="exact"/>
              <w:ind w:firstLine="420" w:firstLineChars="200"/>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shd w:val="clear" w:color="auto" w:fill="FFFFFF"/>
              </w:rPr>
              <w:t>除涉及国家秘密、国家安全和依法应受保护的商业秘密、个人隐私外，公共资源交易信用信息应当向</w:t>
            </w:r>
            <w:r>
              <w:rPr>
                <w:rFonts w:hint="eastAsia" w:asciiTheme="minorEastAsia" w:hAnsiTheme="minorEastAsia" w:eastAsiaTheme="minorEastAsia" w:cstheme="minorEastAsia"/>
                <w:b/>
                <w:bCs/>
                <w:color w:val="auto"/>
                <w:sz w:val="21"/>
                <w:szCs w:val="21"/>
                <w:u w:val="none"/>
                <w:shd w:val="clear"/>
                <w:lang w:eastAsia="zh-CN"/>
              </w:rPr>
              <w:t>及时</w:t>
            </w:r>
            <w:r>
              <w:rPr>
                <w:rFonts w:hint="eastAsia" w:asciiTheme="minorEastAsia" w:hAnsiTheme="minorEastAsia" w:eastAsiaTheme="minorEastAsia" w:cstheme="minorEastAsia"/>
                <w:color w:val="auto"/>
                <w:sz w:val="21"/>
                <w:szCs w:val="21"/>
                <w:shd w:val="clear" w:color="auto" w:fill="FFFFFF"/>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eastAsia="zh-CN"/>
              </w:rPr>
              <w:t>第四条</w:t>
            </w:r>
          </w:p>
        </w:tc>
        <w:tc>
          <w:tcPr>
            <w:tcW w:w="6240" w:type="dxa"/>
            <w:vAlign w:val="center"/>
          </w:tcPr>
          <w:p>
            <w:pPr>
              <w:spacing w:line="360" w:lineRule="exact"/>
              <w:ind w:firstLine="420" w:firstLineChars="20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第四条 省公共资源交易综合管理部门会同相关行政监督管理部门负责统筹规划建设全省公共资源交易信用体系，协调和指导公共资源交易信用管理相关工作。</w:t>
            </w:r>
          </w:p>
          <w:p>
            <w:pPr>
              <w:pStyle w:val="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各设区市公共资源交易综合管理部门会同有关部门统筹协调本行政区域内公共资源交易信用体系建设和管理工作。地方人民政</w:t>
            </w:r>
          </w:p>
        </w:tc>
        <w:tc>
          <w:tcPr>
            <w:tcW w:w="7320" w:type="dxa"/>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firstLine="420" w:firstLineChars="200"/>
              <w:jc w:val="both"/>
              <w:textAlignment w:val="auto"/>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第四条 省公共资源交易综合管理部门会同相关行政监督管理部门负责统筹规划建设全省公共资源交易信用体系，协调和指导公共资源交易信用管理相关工作。</w:t>
            </w:r>
          </w:p>
          <w:p>
            <w:pPr>
              <w:keepNext w:val="0"/>
              <w:keepLines w:val="0"/>
              <w:pageBreakBefore w:val="0"/>
              <w:widowControl/>
              <w:shd w:val="clear" w:color="auto" w:fill="auto"/>
              <w:kinsoku/>
              <w:wordWrap/>
              <w:overflowPunct/>
              <w:topLinePunct w:val="0"/>
              <w:autoSpaceDE/>
              <w:autoSpaceDN/>
              <w:bidi w:val="0"/>
              <w:adjustRightInd/>
              <w:snapToGrid/>
              <w:spacing w:line="360" w:lineRule="exact"/>
              <w:ind w:firstLine="420" w:firstLineChars="200"/>
              <w:jc w:val="both"/>
              <w:textAlignment w:val="auto"/>
              <w:rPr>
                <w:rFonts w:hint="eastAsia" w:asciiTheme="minorEastAsia" w:hAnsiTheme="minorEastAsia" w:eastAsiaTheme="minorEastAsia" w:cstheme="minorEastAsia"/>
                <w:color w:val="auto"/>
                <w:kern w:val="0"/>
                <w:sz w:val="21"/>
                <w:szCs w:val="21"/>
                <w:u w:val="single"/>
              </w:rPr>
            </w:pPr>
            <w:r>
              <w:rPr>
                <w:rFonts w:hint="eastAsia" w:asciiTheme="minorEastAsia" w:hAnsiTheme="minorEastAsia" w:eastAsiaTheme="minorEastAsia" w:cstheme="minorEastAsia"/>
                <w:color w:val="auto"/>
                <w:sz w:val="21"/>
                <w:szCs w:val="21"/>
                <w:shd w:val="clear" w:color="auto" w:fill="FFFFFF"/>
              </w:rPr>
              <w:t>各设区市公共资源交易综合管理部门会同有关部门统筹协调本行政区域内公共资源交易信用体系建设和管理工作。地方人民政府对其所属有关信用管理职责分工另有规定的，按其规定执行。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319" w:type="dxa"/>
            <w:vAlign w:val="center"/>
          </w:tcPr>
          <w:p>
            <w:pPr>
              <w:spacing w:line="300" w:lineRule="exact"/>
              <w:jc w:val="center"/>
              <w:rPr>
                <w:rFonts w:hint="eastAsia" w:ascii="黑体" w:hAnsi="黑体" w:eastAsia="黑体" w:cs="黑体"/>
                <w:color w:val="auto"/>
                <w:sz w:val="28"/>
                <w:szCs w:val="28"/>
                <w:lang w:eastAsia="zh-CN"/>
              </w:rPr>
            </w:pPr>
            <w:r>
              <w:rPr>
                <w:rFonts w:hint="eastAsia" w:ascii="黑体" w:hAnsi="黑体" w:eastAsia="黑体" w:cs="黑体"/>
                <w:b w:val="0"/>
                <w:bCs/>
                <w:color w:val="auto"/>
                <w:sz w:val="28"/>
                <w:szCs w:val="28"/>
              </w:rPr>
              <w:t>序</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号</w:t>
            </w:r>
          </w:p>
        </w:tc>
        <w:tc>
          <w:tcPr>
            <w:tcW w:w="6240" w:type="dxa"/>
            <w:vAlign w:val="center"/>
          </w:tcPr>
          <w:p>
            <w:pPr>
              <w:spacing w:line="300" w:lineRule="exact"/>
              <w:jc w:val="center"/>
              <w:rPr>
                <w:rFonts w:ascii="Helvetica" w:hAnsi="Helvetica"/>
                <w:color w:val="auto"/>
                <w:sz w:val="28"/>
                <w:szCs w:val="28"/>
                <w:shd w:val="clear" w:color="auto" w:fill="FFFFFF"/>
              </w:rPr>
            </w:pPr>
            <w:r>
              <w:rPr>
                <w:rFonts w:hint="eastAsia" w:ascii="黑体" w:hAnsi="黑体" w:eastAsia="黑体" w:cs="黑体"/>
                <w:b w:val="0"/>
                <w:bCs/>
                <w:color w:val="auto"/>
                <w:sz w:val="28"/>
                <w:szCs w:val="28"/>
                <w:lang w:eastAsia="zh-CN"/>
              </w:rPr>
              <w:t>现行规定</w:t>
            </w:r>
          </w:p>
        </w:tc>
        <w:tc>
          <w:tcPr>
            <w:tcW w:w="7320" w:type="dxa"/>
            <w:vAlign w:val="center"/>
          </w:tcPr>
          <w:p>
            <w:pPr>
              <w:spacing w:line="300" w:lineRule="exact"/>
              <w:jc w:val="center"/>
              <w:rPr>
                <w:rFonts w:hint="eastAsia" w:ascii="黑体" w:hAnsi="黑体" w:eastAsia="黑体" w:cs="黑体"/>
                <w:color w:val="auto"/>
                <w:sz w:val="28"/>
                <w:szCs w:val="28"/>
                <w:u w:val="none"/>
                <w:lang w:val="en-US" w:eastAsia="zh-CN"/>
              </w:rPr>
            </w:pPr>
            <w:r>
              <w:rPr>
                <w:rFonts w:hint="eastAsia" w:ascii="黑体" w:hAnsi="黑体" w:eastAsia="黑体" w:cs="黑体"/>
                <w:b w:val="0"/>
                <w:bCs/>
                <w:color w:val="auto"/>
                <w:sz w:val="28"/>
                <w:szCs w:val="28"/>
              </w:rPr>
              <w:t>修改后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0" w:hRule="atLeast"/>
        </w:trPr>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第四条</w:t>
            </w:r>
          </w:p>
        </w:tc>
        <w:tc>
          <w:tcPr>
            <w:tcW w:w="6240" w:type="dxa"/>
            <w:vAlign w:val="center"/>
          </w:tcPr>
          <w:p>
            <w:pPr>
              <w:spacing w:line="360" w:lineRule="exact"/>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府对其所属有关信用管理职责分工另有规定的，按其规定执行。</w:t>
            </w:r>
          </w:p>
          <w:p>
            <w:pPr>
              <w:spacing w:line="360" w:lineRule="exact"/>
              <w:ind w:firstLine="420" w:firstLineChars="200"/>
              <w:jc w:val="both"/>
              <w:rPr>
                <w:rFonts w:hint="eastAsia" w:asciiTheme="minorEastAsia" w:hAnsiTheme="minorEastAsia" w:eastAsiaTheme="minorEastAsia" w:cstheme="minorEastAsia"/>
                <w:sz w:val="21"/>
                <w:szCs w:val="21"/>
                <w:u w:val="none"/>
              </w:rPr>
            </w:pPr>
            <w:r>
              <w:rPr>
                <w:rFonts w:hint="eastAsia" w:asciiTheme="minorEastAsia" w:hAnsiTheme="minorEastAsia" w:eastAsiaTheme="minorEastAsia" w:cstheme="minorEastAsia"/>
                <w:sz w:val="21"/>
                <w:szCs w:val="21"/>
              </w:rPr>
              <w:t>各级招标投标、财政、自然资源、国有资产、卫生健康、医疗保障等行政监督管理部门按照规定的职责分工</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负责本行业领域公共资</w:t>
            </w:r>
            <w:r>
              <w:rPr>
                <w:rFonts w:hint="eastAsia" w:asciiTheme="minorEastAsia" w:hAnsiTheme="minorEastAsia" w:eastAsiaTheme="minorEastAsia" w:cstheme="minorEastAsia"/>
                <w:color w:val="auto"/>
                <w:sz w:val="21"/>
                <w:szCs w:val="21"/>
                <w:u w:val="none"/>
                <w:shd w:val="clear" w:color="auto" w:fill="FFFFFF"/>
              </w:rPr>
              <w:t>源交易信用监督管理工作，对本领域公共资源交易活动当事人</w:t>
            </w:r>
          </w:p>
          <w:p>
            <w:pPr>
              <w:spacing w:line="360" w:lineRule="exact"/>
              <w:jc w:val="both"/>
              <w:rPr>
                <w:rFonts w:hint="eastAsia" w:asciiTheme="minorEastAsia" w:hAnsiTheme="minorEastAsia" w:eastAsiaTheme="minorEastAsia" w:cstheme="minorEastAsia"/>
                <w:color w:val="auto"/>
                <w:sz w:val="21"/>
                <w:szCs w:val="21"/>
                <w:u w:val="none"/>
                <w:shd w:val="clear" w:color="auto" w:fill="FFFFFF"/>
              </w:rPr>
            </w:pPr>
            <w:r>
              <w:rPr>
                <w:rFonts w:hint="eastAsia" w:asciiTheme="minorEastAsia" w:hAnsiTheme="minorEastAsia" w:eastAsiaTheme="minorEastAsia" w:cstheme="minorEastAsia"/>
                <w:color w:val="auto"/>
                <w:sz w:val="21"/>
                <w:szCs w:val="21"/>
                <w:u w:val="none"/>
                <w:shd w:val="clear" w:color="auto" w:fill="FFFFFF"/>
              </w:rPr>
              <w:t>的交易和履约等行为进行细化分类、考核认定、记录共享、强化应用。</w:t>
            </w:r>
          </w:p>
          <w:p>
            <w:pPr>
              <w:spacing w:line="360" w:lineRule="exact"/>
              <w:ind w:firstLine="420" w:firstLineChars="200"/>
              <w:jc w:val="left"/>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公共资源交易平台运行服务机构应当</w:t>
            </w:r>
            <w:r>
              <w:rPr>
                <w:rFonts w:hint="eastAsia" w:asciiTheme="minorEastAsia" w:hAnsiTheme="minorEastAsia" w:eastAsiaTheme="minorEastAsia" w:cstheme="minorEastAsia"/>
                <w:color w:val="auto"/>
                <w:sz w:val="21"/>
                <w:szCs w:val="21"/>
                <w:u w:val="single"/>
                <w:shd w:val="clear" w:color="auto" w:fill="FFFFFF"/>
              </w:rPr>
              <w:t>协助配合监督管理部门，具体做好信用信息的归集、记录、共享和应用工作，按要求实现与上级、本级公共信用信息平台的互联互通和信息共享</w:t>
            </w:r>
            <w:r>
              <w:rPr>
                <w:rFonts w:hint="eastAsia" w:asciiTheme="minorEastAsia" w:hAnsiTheme="minorEastAsia" w:eastAsiaTheme="minorEastAsia" w:cstheme="minorEastAsia"/>
                <w:color w:val="auto"/>
                <w:sz w:val="21"/>
                <w:szCs w:val="21"/>
                <w:shd w:val="clear" w:color="auto" w:fill="FFFFFF"/>
              </w:rPr>
              <w:t>。</w:t>
            </w:r>
          </w:p>
        </w:tc>
        <w:tc>
          <w:tcPr>
            <w:tcW w:w="7320" w:type="dxa"/>
            <w:vAlign w:val="center"/>
          </w:tcPr>
          <w:p>
            <w:pPr>
              <w:keepNext w:val="0"/>
              <w:keepLines w:val="0"/>
              <w:pageBreakBefore w:val="0"/>
              <w:widowControl/>
              <w:shd w:val="clear" w:color="auto" w:fill="auto"/>
              <w:kinsoku/>
              <w:wordWrap/>
              <w:overflowPunct/>
              <w:topLinePunct w:val="0"/>
              <w:autoSpaceDE/>
              <w:autoSpaceDN/>
              <w:bidi w:val="0"/>
              <w:adjustRightInd/>
              <w:snapToGrid/>
              <w:spacing w:line="360" w:lineRule="exact"/>
              <w:ind w:firstLine="420" w:firstLineChars="200"/>
              <w:jc w:val="both"/>
              <w:textAlignment w:val="auto"/>
              <w:rPr>
                <w:rFonts w:hint="eastAsia" w:asciiTheme="minorEastAsia" w:hAnsiTheme="minorEastAsia" w:eastAsiaTheme="minorEastAsia" w:cstheme="minorEastAsia"/>
                <w:b/>
                <w:bCs/>
                <w:color w:val="auto"/>
                <w:sz w:val="21"/>
                <w:szCs w:val="21"/>
                <w:highlight w:val="none"/>
                <w:u w:val="none"/>
                <w:shd w:val="clear"/>
              </w:rPr>
            </w:pPr>
            <w:r>
              <w:rPr>
                <w:rFonts w:hint="eastAsia" w:asciiTheme="minorEastAsia" w:hAnsiTheme="minorEastAsia" w:eastAsiaTheme="minorEastAsia" w:cstheme="minorEastAsia"/>
                <w:b w:val="0"/>
                <w:bCs w:val="0"/>
                <w:color w:val="auto"/>
                <w:sz w:val="21"/>
                <w:szCs w:val="21"/>
                <w:highlight w:val="none"/>
                <w:u w:val="none"/>
              </w:rPr>
              <w:t>各级招标投标、财政、自然资源、国有资产、卫生健康、医疗保障等行政监督管理部门应当按照规定的职责分工，负责本行业领域公共资源交易信用监督管理工作，对本领域公共资源交易活动当事人的交易和履约等行为进行细化分类、考核认定、记录共享、强化应用。</w:t>
            </w:r>
            <w:r>
              <w:rPr>
                <w:rFonts w:hint="eastAsia" w:asciiTheme="minorEastAsia" w:hAnsiTheme="minorEastAsia" w:eastAsiaTheme="minorEastAsia" w:cstheme="minorEastAsia"/>
                <w:b/>
                <w:bCs/>
                <w:color w:val="auto"/>
                <w:sz w:val="21"/>
                <w:szCs w:val="21"/>
                <w:highlight w:val="none"/>
                <w:u w:val="none"/>
              </w:rPr>
              <w:t>不得以信用评价、信用评分等方式变相设立交易壁垒，不得对各类经营主体区别对待，不得将特定行政区域业绩、设立本地分支机构、本地缴纳税收社保等作为信用评价加分事项。</w:t>
            </w:r>
          </w:p>
          <w:p>
            <w:pPr>
              <w:numPr>
                <w:ilvl w:val="-1"/>
                <w:numId w:val="0"/>
              </w:numPr>
              <w:spacing w:line="360" w:lineRule="exact"/>
              <w:ind w:firstLine="420" w:firstLineChars="200"/>
              <w:jc w:val="left"/>
              <w:rPr>
                <w:rFonts w:hint="eastAsia" w:asciiTheme="minorEastAsia" w:hAnsiTheme="minorEastAsia" w:eastAsiaTheme="minorEastAsia" w:cstheme="minorEastAsia"/>
                <w:color w:val="auto"/>
                <w:sz w:val="21"/>
                <w:szCs w:val="21"/>
                <w:u w:val="none"/>
                <w:lang w:val="en-US" w:eastAsia="zh-CN"/>
              </w:rPr>
            </w:pPr>
            <w:r>
              <w:rPr>
                <w:rFonts w:hint="eastAsia" w:asciiTheme="minorEastAsia" w:hAnsiTheme="minorEastAsia" w:eastAsiaTheme="minorEastAsia" w:cstheme="minorEastAsia"/>
                <w:b w:val="0"/>
                <w:bCs w:val="0"/>
                <w:color w:val="auto"/>
                <w:sz w:val="21"/>
                <w:szCs w:val="21"/>
                <w:highlight w:val="none"/>
                <w:u w:val="none"/>
                <w:shd w:val="clear"/>
              </w:rPr>
              <w:t>公共资源交易平台运行服务机构</w:t>
            </w:r>
            <w:r>
              <w:rPr>
                <w:rFonts w:hint="eastAsia" w:asciiTheme="minorEastAsia" w:hAnsiTheme="minorEastAsia" w:eastAsiaTheme="minorEastAsia" w:cstheme="minorEastAsia"/>
                <w:b/>
                <w:bCs/>
                <w:color w:val="auto"/>
                <w:sz w:val="21"/>
                <w:szCs w:val="21"/>
                <w:highlight w:val="none"/>
                <w:u w:val="none"/>
                <w:shd w:val="clear"/>
              </w:rPr>
              <w:t>应当</w:t>
            </w:r>
            <w:r>
              <w:rPr>
                <w:rFonts w:hint="eastAsia" w:asciiTheme="minorEastAsia" w:hAnsiTheme="minorEastAsia" w:eastAsiaTheme="minorEastAsia" w:cstheme="minorEastAsia"/>
                <w:b/>
                <w:bCs/>
                <w:color w:val="auto"/>
                <w:sz w:val="21"/>
                <w:szCs w:val="21"/>
                <w:highlight w:val="none"/>
                <w:u w:val="none"/>
              </w:rPr>
              <w:t>按照</w:t>
            </w:r>
            <w:r>
              <w:rPr>
                <w:rFonts w:hint="eastAsia" w:asciiTheme="minorEastAsia" w:hAnsiTheme="minorEastAsia" w:eastAsiaTheme="minorEastAsia" w:cstheme="minorEastAsia"/>
                <w:b/>
                <w:bCs/>
                <w:color w:val="auto"/>
                <w:sz w:val="21"/>
                <w:szCs w:val="21"/>
                <w:highlight w:val="none"/>
                <w:u w:val="none"/>
                <w:lang w:eastAsia="zh-CN"/>
              </w:rPr>
              <w:t>本办法要求</w:t>
            </w:r>
            <w:r>
              <w:rPr>
                <w:rFonts w:hint="eastAsia" w:asciiTheme="minorEastAsia" w:hAnsiTheme="minorEastAsia" w:eastAsiaTheme="minorEastAsia" w:cstheme="minorEastAsia"/>
                <w:b/>
                <w:bCs/>
                <w:color w:val="auto"/>
                <w:sz w:val="21"/>
                <w:szCs w:val="21"/>
                <w:highlight w:val="none"/>
                <w:u w:val="none"/>
              </w:rPr>
              <w:t>，记录公共资源交易</w:t>
            </w:r>
            <w:r>
              <w:rPr>
                <w:rFonts w:hint="eastAsia" w:asciiTheme="minorEastAsia" w:hAnsiTheme="minorEastAsia" w:eastAsiaTheme="minorEastAsia" w:cstheme="minorEastAsia"/>
                <w:b/>
                <w:bCs/>
                <w:color w:val="auto"/>
                <w:sz w:val="21"/>
                <w:szCs w:val="21"/>
                <w:highlight w:val="none"/>
                <w:u w:val="none"/>
                <w:lang w:eastAsia="zh-CN"/>
              </w:rPr>
              <w:t>信用</w:t>
            </w:r>
            <w:r>
              <w:rPr>
                <w:rFonts w:hint="eastAsia" w:asciiTheme="minorEastAsia" w:hAnsiTheme="minorEastAsia" w:eastAsiaTheme="minorEastAsia" w:cstheme="minorEastAsia"/>
                <w:b/>
                <w:bCs/>
                <w:color w:val="auto"/>
                <w:sz w:val="21"/>
                <w:szCs w:val="21"/>
                <w:highlight w:val="none"/>
                <w:u w:val="none"/>
              </w:rPr>
              <w:t>信息，整理、保存交易过程中的相关资料，为公共资源交易信用监管提供支持。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0" w:hRule="atLeast"/>
        </w:trPr>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eastAsia="zh-CN"/>
              </w:rPr>
              <w:t>第五条</w:t>
            </w:r>
          </w:p>
        </w:tc>
        <w:tc>
          <w:tcPr>
            <w:tcW w:w="6240" w:type="dxa"/>
            <w:vAlign w:val="center"/>
          </w:tcPr>
          <w:p>
            <w:pPr>
              <w:spacing w:line="360" w:lineRule="exact"/>
              <w:ind w:firstLine="420" w:firstLineChars="200"/>
              <w:jc w:val="left"/>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 xml:space="preserve">第五条 </w:t>
            </w:r>
            <w:r>
              <w:rPr>
                <w:rFonts w:hint="eastAsia" w:asciiTheme="minorEastAsia" w:hAnsiTheme="minorEastAsia" w:eastAsiaTheme="minorEastAsia" w:cstheme="minorEastAsia"/>
                <w:color w:val="auto"/>
                <w:sz w:val="21"/>
                <w:szCs w:val="21"/>
                <w:u w:val="single"/>
                <w:shd w:val="clear" w:color="auto" w:fill="FFFFFF"/>
              </w:rPr>
              <w:t>公共资源交易平台</w:t>
            </w:r>
            <w:r>
              <w:rPr>
                <w:rFonts w:hint="eastAsia" w:asciiTheme="minorEastAsia" w:hAnsiTheme="minorEastAsia" w:eastAsiaTheme="minorEastAsia" w:cstheme="minorEastAsia"/>
                <w:color w:val="auto"/>
                <w:sz w:val="21"/>
                <w:szCs w:val="21"/>
                <w:shd w:val="clear" w:color="auto" w:fill="FFFFFF"/>
              </w:rPr>
              <w:t>是公共资源交易信用信息记录、归集、共享、更新、应用的枢纽。</w:t>
            </w:r>
          </w:p>
          <w:p>
            <w:pPr>
              <w:spacing w:line="360" w:lineRule="exact"/>
              <w:ind w:firstLine="420" w:firstLineChars="200"/>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shd w:val="clear" w:color="auto" w:fill="FFFFFF"/>
              </w:rPr>
              <w:t>公共资源交易平台运行服务机构应依据全国统一的社会信用代码和公共资源交易平台系统数据规范，在本级</w:t>
            </w:r>
            <w:r>
              <w:rPr>
                <w:rFonts w:hint="eastAsia" w:asciiTheme="minorEastAsia" w:hAnsiTheme="minorEastAsia" w:eastAsiaTheme="minorEastAsia" w:cstheme="minorEastAsia"/>
                <w:color w:val="auto"/>
                <w:sz w:val="21"/>
                <w:szCs w:val="21"/>
                <w:u w:val="single"/>
                <w:shd w:val="clear" w:color="auto" w:fill="FFFFFF"/>
              </w:rPr>
              <w:t>公共资源交易电子服务系统</w:t>
            </w:r>
            <w:r>
              <w:rPr>
                <w:rFonts w:hint="eastAsia" w:asciiTheme="minorEastAsia" w:hAnsiTheme="minorEastAsia" w:eastAsiaTheme="minorEastAsia" w:cstheme="minorEastAsia"/>
                <w:color w:val="auto"/>
                <w:sz w:val="21"/>
                <w:szCs w:val="21"/>
                <w:shd w:val="clear" w:color="auto" w:fill="FFFFFF"/>
              </w:rPr>
              <w:t>建立公共资源交易活动当事人信用</w:t>
            </w:r>
            <w:r>
              <w:rPr>
                <w:rFonts w:hint="eastAsia" w:asciiTheme="minorEastAsia" w:hAnsiTheme="minorEastAsia" w:eastAsiaTheme="minorEastAsia" w:cstheme="minorEastAsia"/>
                <w:color w:val="auto"/>
                <w:sz w:val="21"/>
                <w:szCs w:val="21"/>
                <w:u w:val="single"/>
                <w:shd w:val="clear" w:color="auto" w:fill="FFFFFF"/>
              </w:rPr>
              <w:t>信息库，并负责运行管理和维护</w:t>
            </w:r>
            <w:r>
              <w:rPr>
                <w:rFonts w:hint="eastAsia" w:asciiTheme="minorEastAsia" w:hAnsiTheme="minorEastAsia" w:eastAsiaTheme="minorEastAsia" w:cstheme="minorEastAsia"/>
                <w:color w:val="auto"/>
                <w:sz w:val="21"/>
                <w:szCs w:val="21"/>
                <w:shd w:val="clear" w:color="auto" w:fill="FFFFFF"/>
              </w:rPr>
              <w:t>。</w:t>
            </w:r>
          </w:p>
        </w:tc>
        <w:tc>
          <w:tcPr>
            <w:tcW w:w="7320" w:type="dxa"/>
            <w:vAlign w:val="center"/>
          </w:tcPr>
          <w:p>
            <w:pPr>
              <w:numPr>
                <w:ilvl w:val="0"/>
                <w:numId w:val="0"/>
              </w:numPr>
              <w:spacing w:line="360" w:lineRule="exact"/>
              <w:ind w:firstLine="420" w:firstLineChars="200"/>
              <w:jc w:val="left"/>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b w:val="0"/>
                <w:bCs w:val="0"/>
                <w:color w:val="auto"/>
                <w:sz w:val="21"/>
                <w:szCs w:val="21"/>
                <w:highlight w:val="none"/>
                <w:u w:val="none"/>
                <w:shd w:val="clear"/>
                <w:lang w:val="en-US" w:eastAsia="zh-CN"/>
              </w:rPr>
              <w:t>第五条</w:t>
            </w:r>
            <w:r>
              <w:rPr>
                <w:rFonts w:hint="eastAsia" w:asciiTheme="minorEastAsia" w:hAnsiTheme="minorEastAsia" w:eastAsiaTheme="minorEastAsia" w:cstheme="minorEastAsia"/>
                <w:b/>
                <w:bCs/>
                <w:color w:val="auto"/>
                <w:sz w:val="21"/>
                <w:szCs w:val="21"/>
                <w:highlight w:val="none"/>
                <w:u w:val="none"/>
                <w:shd w:val="clear"/>
                <w:lang w:val="en-US" w:eastAsia="zh-CN"/>
              </w:rPr>
              <w:t xml:space="preserve"> 山东省公共资源交易平台电子服务系统</w:t>
            </w:r>
            <w:r>
              <w:rPr>
                <w:rFonts w:hint="eastAsia" w:asciiTheme="minorEastAsia" w:hAnsiTheme="minorEastAsia" w:eastAsiaTheme="minorEastAsia" w:cstheme="minorEastAsia"/>
                <w:b/>
                <w:bCs/>
                <w:color w:val="auto"/>
                <w:sz w:val="21"/>
                <w:szCs w:val="21"/>
                <w:highlight w:val="none"/>
                <w:u w:val="none"/>
                <w:shd w:val="clear"/>
              </w:rPr>
              <w:t>是</w:t>
            </w:r>
            <w:r>
              <w:rPr>
                <w:rFonts w:hint="eastAsia" w:asciiTheme="minorEastAsia" w:hAnsiTheme="minorEastAsia" w:eastAsiaTheme="minorEastAsia" w:cstheme="minorEastAsia"/>
                <w:b/>
                <w:bCs/>
                <w:color w:val="auto"/>
                <w:sz w:val="21"/>
                <w:szCs w:val="21"/>
                <w:highlight w:val="none"/>
                <w:u w:val="none"/>
                <w:shd w:val="clear"/>
                <w:lang w:val="en-US" w:eastAsia="zh-CN"/>
              </w:rPr>
              <w:t>全省</w:t>
            </w:r>
            <w:r>
              <w:rPr>
                <w:rFonts w:hint="eastAsia" w:asciiTheme="minorEastAsia" w:hAnsiTheme="minorEastAsia" w:eastAsiaTheme="minorEastAsia" w:cstheme="minorEastAsia"/>
                <w:color w:val="auto"/>
                <w:sz w:val="21"/>
                <w:szCs w:val="21"/>
                <w:shd w:val="clear" w:color="auto" w:fill="FFFFFF"/>
              </w:rPr>
              <w:t>公共资源交易信用信息归集、共享、</w:t>
            </w:r>
            <w:r>
              <w:rPr>
                <w:rFonts w:hint="eastAsia" w:asciiTheme="minorEastAsia" w:hAnsiTheme="minorEastAsia" w:eastAsiaTheme="minorEastAsia" w:cstheme="minorEastAsia"/>
                <w:b/>
                <w:bCs/>
                <w:color w:val="auto"/>
                <w:sz w:val="21"/>
                <w:szCs w:val="21"/>
                <w:highlight w:val="none"/>
                <w:u w:val="none"/>
                <w:shd w:val="clear"/>
                <w:lang w:eastAsia="zh-CN"/>
              </w:rPr>
              <w:t>公开、</w:t>
            </w:r>
            <w:r>
              <w:rPr>
                <w:rFonts w:hint="eastAsia" w:asciiTheme="minorEastAsia" w:hAnsiTheme="minorEastAsia" w:eastAsiaTheme="minorEastAsia" w:cstheme="minorEastAsia"/>
                <w:color w:val="auto"/>
                <w:sz w:val="21"/>
                <w:szCs w:val="21"/>
                <w:shd w:val="clear" w:color="auto" w:fill="FFFFFF"/>
              </w:rPr>
              <w:t>应用的枢纽。</w:t>
            </w:r>
          </w:p>
          <w:p>
            <w:pPr>
              <w:numPr>
                <w:ilvl w:val="-1"/>
                <w:numId w:val="0"/>
              </w:numPr>
              <w:spacing w:line="360" w:lineRule="exact"/>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u w:val="none"/>
                <w:lang w:val="en-US" w:eastAsia="zh-CN"/>
              </w:rPr>
              <w:t xml:space="preserve">    </w:t>
            </w:r>
            <w:r>
              <w:rPr>
                <w:rFonts w:hint="eastAsia" w:asciiTheme="minorEastAsia" w:hAnsiTheme="minorEastAsia" w:eastAsiaTheme="minorEastAsia" w:cstheme="minorEastAsia"/>
                <w:b/>
                <w:bCs/>
                <w:color w:val="auto"/>
                <w:sz w:val="21"/>
                <w:szCs w:val="21"/>
                <w:highlight w:val="none"/>
                <w:u w:val="none"/>
                <w:shd w:val="clear"/>
                <w:lang w:val="en-US" w:eastAsia="zh-CN"/>
              </w:rPr>
              <w:t>各级</w:t>
            </w:r>
            <w:r>
              <w:rPr>
                <w:rFonts w:hint="eastAsia" w:asciiTheme="minorEastAsia" w:hAnsiTheme="minorEastAsia" w:eastAsiaTheme="minorEastAsia" w:cstheme="minorEastAsia"/>
                <w:color w:val="auto"/>
                <w:sz w:val="21"/>
                <w:szCs w:val="21"/>
                <w:shd w:val="clear" w:color="auto" w:fill="FFFFFF"/>
              </w:rPr>
              <w:t>公共资源交易平台运行服务机构应依据全国统一的社会信用代码和公共资源交易平台系统数据规范，在本级</w:t>
            </w:r>
            <w:r>
              <w:rPr>
                <w:rFonts w:hint="eastAsia" w:asciiTheme="minorEastAsia" w:hAnsiTheme="minorEastAsia" w:eastAsiaTheme="minorEastAsia" w:cstheme="minorEastAsia"/>
                <w:b/>
                <w:bCs/>
                <w:color w:val="auto"/>
                <w:sz w:val="21"/>
                <w:szCs w:val="21"/>
                <w:highlight w:val="none"/>
                <w:u w:val="none"/>
                <w:shd w:val="clear"/>
                <w:lang w:val="en-US" w:eastAsia="zh-CN"/>
              </w:rPr>
              <w:t>公共资源交易平台电子服务系统</w:t>
            </w:r>
            <w:r>
              <w:rPr>
                <w:rFonts w:hint="eastAsia" w:asciiTheme="minorEastAsia" w:hAnsiTheme="minorEastAsia" w:eastAsiaTheme="minorEastAsia" w:cstheme="minorEastAsia"/>
                <w:color w:val="auto"/>
                <w:sz w:val="21"/>
                <w:szCs w:val="21"/>
                <w:shd w:val="clear" w:color="auto" w:fill="FFFFFF"/>
              </w:rPr>
              <w:t>建立公共资源交易活动当事人</w:t>
            </w:r>
            <w:r>
              <w:rPr>
                <w:rFonts w:hint="eastAsia" w:asciiTheme="minorEastAsia" w:hAnsiTheme="minorEastAsia" w:eastAsiaTheme="minorEastAsia" w:cstheme="minorEastAsia"/>
                <w:b/>
                <w:bCs/>
                <w:color w:val="auto"/>
                <w:sz w:val="21"/>
                <w:szCs w:val="21"/>
                <w:highlight w:val="none"/>
                <w:u w:val="none"/>
                <w:shd w:val="clear"/>
              </w:rPr>
              <w:t>信用档案，</w:t>
            </w:r>
            <w:r>
              <w:rPr>
                <w:rFonts w:hint="eastAsia" w:asciiTheme="minorEastAsia" w:hAnsiTheme="minorEastAsia" w:eastAsiaTheme="minorEastAsia" w:cstheme="minorEastAsia"/>
                <w:b/>
                <w:bCs/>
                <w:color w:val="auto"/>
                <w:sz w:val="21"/>
                <w:szCs w:val="21"/>
                <w:highlight w:val="none"/>
                <w:u w:val="none"/>
                <w:shd w:val="clear"/>
                <w:lang w:val="en-US" w:eastAsia="zh-CN"/>
              </w:rPr>
              <w:t>及时汇总、收集、发布、更新各类信用信息，并实时共享至山东省公共资源交易平台电子服务系统。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4879" w:type="dxa"/>
            <w:gridSpan w:val="3"/>
            <w:vAlign w:val="center"/>
          </w:tcPr>
          <w:p>
            <w:pPr>
              <w:spacing w:line="360" w:lineRule="exact"/>
              <w:jc w:val="center"/>
              <w:rPr>
                <w:rFonts w:hint="default" w:asciiTheme="minorEastAsia" w:hAnsiTheme="minorEastAsia" w:eastAsiaTheme="minorEastAsia" w:cstheme="minorEastAsia"/>
                <w:color w:val="auto"/>
                <w:sz w:val="21"/>
                <w:szCs w:val="21"/>
                <w:lang w:val="en-US"/>
              </w:rPr>
            </w:pPr>
            <w:r>
              <w:rPr>
                <w:rFonts w:hint="eastAsia" w:asciiTheme="minorEastAsia" w:hAnsiTheme="minorEastAsia" w:eastAsiaTheme="minorEastAsia" w:cstheme="minorEastAsia"/>
                <w:color w:val="auto"/>
                <w:sz w:val="21"/>
                <w:szCs w:val="21"/>
                <w:lang w:val="en-US" w:eastAsia="zh-CN"/>
              </w:rPr>
              <w:t>第二章  信用信息归集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shd w:val="clear" w:color="auto" w:fill="FFFFFF"/>
                <w:lang w:val="en-US" w:eastAsia="zh-CN"/>
              </w:rPr>
            </w:pPr>
            <w:r>
              <w:rPr>
                <w:rFonts w:hint="eastAsia" w:asciiTheme="minorEastAsia" w:hAnsiTheme="minorEastAsia" w:eastAsiaTheme="minorEastAsia" w:cstheme="minorEastAsia"/>
                <w:color w:val="auto"/>
                <w:sz w:val="21"/>
                <w:szCs w:val="21"/>
                <w:lang w:val="en-US" w:eastAsia="zh-CN"/>
              </w:rPr>
              <w:t>第六条</w:t>
            </w:r>
          </w:p>
        </w:tc>
        <w:tc>
          <w:tcPr>
            <w:tcW w:w="6240" w:type="dxa"/>
            <w:vAlign w:val="center"/>
          </w:tcPr>
          <w:p>
            <w:pPr>
              <w:spacing w:line="360" w:lineRule="exact"/>
              <w:ind w:firstLine="420" w:firstLineChars="200"/>
              <w:jc w:val="left"/>
              <w:rPr>
                <w:rFonts w:hint="eastAsia" w:asciiTheme="minorEastAsia" w:hAnsiTheme="minorEastAsia" w:eastAsiaTheme="minorEastAsia" w:cstheme="minorEastAsia"/>
                <w:color w:val="auto"/>
                <w:sz w:val="21"/>
                <w:szCs w:val="21"/>
                <w:shd w:val="clear" w:color="auto" w:fill="FFFFFF"/>
                <w:lang w:val="en-US" w:eastAsia="zh-CN"/>
              </w:rPr>
            </w:pPr>
            <w:r>
              <w:rPr>
                <w:rFonts w:hint="eastAsia" w:asciiTheme="minorEastAsia" w:hAnsiTheme="minorEastAsia" w:eastAsiaTheme="minorEastAsia" w:cstheme="minorEastAsia"/>
                <w:color w:val="auto"/>
                <w:sz w:val="21"/>
                <w:szCs w:val="21"/>
                <w:shd w:val="clear" w:color="auto" w:fill="FFFFFF"/>
              </w:rPr>
              <w:t>第六条　公共资源交易信用信息包括基本信息、失信信息、奖励信息和承诺信息。</w:t>
            </w:r>
          </w:p>
        </w:tc>
        <w:tc>
          <w:tcPr>
            <w:tcW w:w="7320" w:type="dxa"/>
            <w:vAlign w:val="center"/>
          </w:tcPr>
          <w:p>
            <w:pPr>
              <w:spacing w:line="360" w:lineRule="exact"/>
              <w:ind w:firstLine="420" w:firstLineChars="200"/>
              <w:jc w:val="left"/>
              <w:rPr>
                <w:rFonts w:hint="eastAsia" w:asciiTheme="minorEastAsia" w:hAnsiTheme="minorEastAsia" w:eastAsiaTheme="minorEastAsia" w:cstheme="minorEastAsia"/>
                <w:color w:val="auto"/>
                <w:sz w:val="21"/>
                <w:szCs w:val="21"/>
                <w:shd w:val="clear" w:color="auto" w:fill="FFFFFF"/>
                <w:lang w:val="en-US" w:eastAsia="zh-CN"/>
              </w:rPr>
            </w:pPr>
            <w:r>
              <w:rPr>
                <w:rFonts w:hint="eastAsia" w:asciiTheme="minorEastAsia" w:hAnsiTheme="minorEastAsia" w:eastAsiaTheme="minorEastAsia" w:cstheme="minorEastAsia"/>
                <w:color w:val="auto"/>
                <w:sz w:val="21"/>
                <w:szCs w:val="21"/>
                <w:shd w:val="clear" w:color="auto" w:fill="FFFFFF"/>
              </w:rPr>
              <w:t>第六条　公共资源交易信用信息包括基本信息、失信信息、奖励信息和承诺信息。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shd w:val="clear" w:color="auto" w:fill="FFFFFF"/>
                <w:lang w:val="en-US" w:eastAsia="zh-CN"/>
              </w:rPr>
            </w:pPr>
            <w:r>
              <w:rPr>
                <w:rFonts w:hint="eastAsia" w:asciiTheme="minorEastAsia" w:hAnsiTheme="minorEastAsia" w:eastAsiaTheme="minorEastAsia" w:cstheme="minorEastAsia"/>
                <w:color w:val="auto"/>
                <w:sz w:val="21"/>
                <w:szCs w:val="21"/>
                <w:lang w:val="en-US" w:eastAsia="zh-CN"/>
              </w:rPr>
              <w:t>第七条</w:t>
            </w:r>
          </w:p>
        </w:tc>
        <w:tc>
          <w:tcPr>
            <w:tcW w:w="6240" w:type="dxa"/>
            <w:vAlign w:val="center"/>
          </w:tcPr>
          <w:p>
            <w:p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第七条　基本信息是指可识别、分析和判断公共资源交易活动</w:t>
            </w:r>
          </w:p>
        </w:tc>
        <w:tc>
          <w:tcPr>
            <w:tcW w:w="7320" w:type="dxa"/>
            <w:vAlign w:val="center"/>
          </w:tcPr>
          <w:p>
            <w:p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lang w:val="en-US" w:eastAsia="zh-CN"/>
              </w:rPr>
            </w:pPr>
            <w:r>
              <w:rPr>
                <w:rFonts w:hint="eastAsia" w:asciiTheme="minorEastAsia" w:hAnsiTheme="minorEastAsia" w:eastAsiaTheme="minorEastAsia" w:cstheme="minorEastAsia"/>
                <w:color w:val="auto"/>
                <w:sz w:val="21"/>
                <w:szCs w:val="21"/>
                <w:shd w:val="clear" w:color="auto" w:fill="FFFFFF"/>
              </w:rPr>
              <w:t>第七条　基本信息是指可识别、分析和判断公共资源交易活动当事人基本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00" w:lineRule="exact"/>
              <w:jc w:val="center"/>
              <w:rPr>
                <w:rFonts w:hint="eastAsia" w:ascii="黑体" w:hAnsi="黑体" w:eastAsia="黑体" w:cs="黑体"/>
                <w:color w:val="auto"/>
                <w:sz w:val="28"/>
                <w:szCs w:val="28"/>
                <w:lang w:val="en-US" w:eastAsia="zh-CN"/>
              </w:rPr>
            </w:pPr>
            <w:r>
              <w:rPr>
                <w:rFonts w:hint="eastAsia" w:ascii="黑体" w:hAnsi="黑体" w:eastAsia="黑体" w:cs="黑体"/>
                <w:b w:val="0"/>
                <w:bCs/>
                <w:color w:val="auto"/>
                <w:sz w:val="28"/>
                <w:szCs w:val="28"/>
              </w:rPr>
              <w:t>序</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号</w:t>
            </w:r>
          </w:p>
        </w:tc>
        <w:tc>
          <w:tcPr>
            <w:tcW w:w="6240" w:type="dxa"/>
            <w:vAlign w:val="center"/>
          </w:tcPr>
          <w:p>
            <w:pPr>
              <w:spacing w:line="300" w:lineRule="exact"/>
              <w:jc w:val="center"/>
              <w:rPr>
                <w:rFonts w:hint="eastAsia" w:ascii="黑体" w:hAnsi="黑体" w:eastAsia="黑体" w:cs="黑体"/>
                <w:strike/>
                <w:color w:val="auto"/>
                <w:sz w:val="28"/>
                <w:szCs w:val="28"/>
                <w:shd w:val="clear" w:color="auto" w:fill="FFFFFF"/>
              </w:rPr>
            </w:pPr>
            <w:r>
              <w:rPr>
                <w:rFonts w:hint="eastAsia" w:ascii="黑体" w:hAnsi="黑体" w:eastAsia="黑体" w:cs="黑体"/>
                <w:b w:val="0"/>
                <w:bCs/>
                <w:color w:val="auto"/>
                <w:sz w:val="28"/>
                <w:szCs w:val="28"/>
                <w:lang w:eastAsia="zh-CN"/>
              </w:rPr>
              <w:t>现行规定</w:t>
            </w:r>
          </w:p>
        </w:tc>
        <w:tc>
          <w:tcPr>
            <w:tcW w:w="7320" w:type="dxa"/>
            <w:vAlign w:val="center"/>
          </w:tcPr>
          <w:p>
            <w:pPr>
              <w:spacing w:line="300" w:lineRule="exact"/>
              <w:jc w:val="center"/>
              <w:rPr>
                <w:rFonts w:hint="eastAsia" w:ascii="黑体" w:hAnsi="黑体" w:eastAsia="黑体" w:cs="黑体"/>
                <w:color w:val="auto"/>
                <w:sz w:val="28"/>
                <w:szCs w:val="28"/>
              </w:rPr>
            </w:pPr>
            <w:r>
              <w:rPr>
                <w:rFonts w:hint="eastAsia" w:ascii="黑体" w:hAnsi="黑体" w:eastAsia="黑体" w:cs="黑体"/>
                <w:b w:val="0"/>
                <w:bCs/>
                <w:color w:val="auto"/>
                <w:sz w:val="28"/>
                <w:szCs w:val="28"/>
              </w:rPr>
              <w:t>修改后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第七条</w:t>
            </w:r>
          </w:p>
        </w:tc>
        <w:tc>
          <w:tcPr>
            <w:tcW w:w="6240" w:type="dxa"/>
            <w:vAlign w:val="center"/>
          </w:tcPr>
          <w:p>
            <w:pPr>
              <w:spacing w:line="360" w:lineRule="exact"/>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lang w:eastAsia="zh-CN"/>
              </w:rPr>
              <w:t>当事</w:t>
            </w:r>
            <w:r>
              <w:rPr>
                <w:rFonts w:hint="eastAsia" w:asciiTheme="minorEastAsia" w:hAnsiTheme="minorEastAsia" w:eastAsiaTheme="minorEastAsia" w:cstheme="minorEastAsia"/>
                <w:color w:val="auto"/>
                <w:sz w:val="21"/>
                <w:szCs w:val="21"/>
                <w:shd w:val="clear" w:color="auto" w:fill="FFFFFF"/>
              </w:rPr>
              <w:t>人基本情况的信息。主要包括：</w:t>
            </w:r>
          </w:p>
          <w:p>
            <w:p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（一）自然人在公安部门登记的个人身份识别信息、职业信息，法人和其他组织在登记机关的登记注册信息、统一社会信用代码等；</w:t>
            </w:r>
          </w:p>
          <w:p>
            <w:p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（二）自然人、法人和其他组织获得的资质、资格等行政许可信息、行政备案信息及其他非负面的行政决定信息；</w:t>
            </w:r>
          </w:p>
          <w:p>
            <w:pPr>
              <w:spacing w:line="360" w:lineRule="exact"/>
              <w:ind w:firstLine="420" w:firstLineChars="200"/>
              <w:jc w:val="both"/>
              <w:rPr>
                <w:rFonts w:hint="eastAsia" w:asciiTheme="minorEastAsia" w:hAnsiTheme="minorEastAsia" w:eastAsiaTheme="minorEastAsia" w:cstheme="minorEastAsia"/>
                <w:strike/>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（三）其他基本信息。</w:t>
            </w:r>
          </w:p>
        </w:tc>
        <w:tc>
          <w:tcPr>
            <w:tcW w:w="7320" w:type="dxa"/>
            <w:vAlign w:val="center"/>
          </w:tcPr>
          <w:p>
            <w:pPr>
              <w:spacing w:line="360" w:lineRule="exact"/>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lang w:eastAsia="zh-CN"/>
              </w:rPr>
              <w:t>情况</w:t>
            </w:r>
            <w:r>
              <w:rPr>
                <w:rFonts w:hint="eastAsia" w:asciiTheme="minorEastAsia" w:hAnsiTheme="minorEastAsia" w:eastAsiaTheme="minorEastAsia" w:cstheme="minorEastAsia"/>
                <w:color w:val="auto"/>
                <w:sz w:val="21"/>
                <w:szCs w:val="21"/>
                <w:shd w:val="clear" w:color="auto" w:fill="FFFFFF"/>
              </w:rPr>
              <w:t>的信息。主要包括：</w:t>
            </w:r>
          </w:p>
          <w:p>
            <w:p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（一）自然人在公安部门登记的个人身份识别信息、职业信息，法人和其他组织在登记机关的登记注册信息、统一社会信用代码等；</w:t>
            </w:r>
          </w:p>
          <w:p>
            <w:p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（二）自然人、法人和其他组织获得的资质、资格等行政许可信息、行政备案信息及其他非负面的行政决定信息；</w:t>
            </w:r>
          </w:p>
          <w:p>
            <w:pPr>
              <w:numPr>
                <w:ilvl w:val="0"/>
                <w:numId w:val="0"/>
              </w:numPr>
              <w:spacing w:line="360" w:lineRule="exact"/>
              <w:ind w:leftChars="0" w:firstLine="420" w:firstLineChars="200"/>
              <w:jc w:val="both"/>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shd w:val="clear" w:color="auto" w:fill="FFFFFF"/>
              </w:rPr>
              <w:t>（三）其他基本信息。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7" w:hRule="atLeast"/>
        </w:trPr>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第八条</w:t>
            </w:r>
          </w:p>
        </w:tc>
        <w:tc>
          <w:tcPr>
            <w:tcW w:w="6240" w:type="dxa"/>
            <w:vAlign w:val="center"/>
          </w:tcPr>
          <w:p>
            <w:p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第八条 失信信息是指公共资源交易活动当事人在从事公共资源交易活动中违反法律法规规章，违背诚实信用、公平竞争原则、强制性标准或执业行为规范，被行政监督管理部门、司法机关以及法律法规授权的具有公共事务管理职能的机构依法实施行政处罚或作出处理决定的信息。</w:t>
            </w:r>
            <w:r>
              <w:rPr>
                <w:rFonts w:hint="eastAsia" w:asciiTheme="minorEastAsia" w:hAnsiTheme="minorEastAsia" w:eastAsiaTheme="minorEastAsia" w:cstheme="minorEastAsia"/>
                <w:color w:val="auto"/>
                <w:sz w:val="21"/>
                <w:szCs w:val="21"/>
                <w:u w:val="single"/>
                <w:shd w:val="clear" w:color="auto" w:fill="FFFFFF"/>
              </w:rPr>
              <w:t>主要包括：</w:t>
            </w:r>
          </w:p>
          <w:p>
            <w:pPr>
              <w:spacing w:line="360" w:lineRule="exact"/>
              <w:ind w:firstLine="420" w:firstLineChars="200"/>
              <w:jc w:val="both"/>
              <w:rPr>
                <w:rFonts w:hint="eastAsia" w:asciiTheme="minorEastAsia" w:hAnsiTheme="minorEastAsia" w:eastAsiaTheme="minorEastAsia" w:cstheme="minorEastAsia"/>
                <w:strike/>
                <w:color w:val="auto"/>
                <w:sz w:val="21"/>
                <w:szCs w:val="21"/>
                <w:shd w:val="clear" w:color="auto" w:fill="FFFFFF"/>
              </w:rPr>
            </w:pPr>
            <w:r>
              <w:rPr>
                <w:rFonts w:hint="eastAsia" w:asciiTheme="minorEastAsia" w:hAnsiTheme="minorEastAsia" w:eastAsiaTheme="minorEastAsia" w:cstheme="minorEastAsia"/>
                <w:strike/>
                <w:color w:val="auto"/>
                <w:sz w:val="21"/>
                <w:szCs w:val="21"/>
                <w:shd w:val="clear" w:color="auto" w:fill="FFFFFF"/>
              </w:rPr>
              <w:t>（一）违反法律规定，必须进行招标的项目而不招标的，将必须进行招标的项目化整为零或者以其他任何方式规避招标的；</w:t>
            </w:r>
          </w:p>
          <w:p>
            <w:pPr>
              <w:spacing w:line="360" w:lineRule="exact"/>
              <w:ind w:firstLine="420" w:firstLineChars="200"/>
              <w:jc w:val="both"/>
              <w:rPr>
                <w:rFonts w:hint="eastAsia" w:asciiTheme="minorEastAsia" w:hAnsiTheme="minorEastAsia" w:eastAsiaTheme="minorEastAsia" w:cstheme="minorEastAsia"/>
                <w:strike/>
                <w:color w:val="auto"/>
                <w:sz w:val="21"/>
                <w:szCs w:val="21"/>
                <w:shd w:val="clear" w:color="auto" w:fill="FFFFFF"/>
              </w:rPr>
            </w:pPr>
            <w:r>
              <w:rPr>
                <w:rFonts w:hint="eastAsia" w:asciiTheme="minorEastAsia" w:hAnsiTheme="minorEastAsia" w:eastAsiaTheme="minorEastAsia" w:cstheme="minorEastAsia"/>
                <w:strike/>
                <w:color w:val="auto"/>
                <w:sz w:val="21"/>
                <w:szCs w:val="21"/>
                <w:shd w:val="clear" w:color="auto" w:fill="FFFFFF"/>
              </w:rPr>
              <w:t>（二）招标代理机构违反法律规定，泄露应当保密的与招标投标活动有关的情况和资料的，或者与招标人、投标人串通损害国家利益、社会公共利益或者他人合法权益的；</w:t>
            </w:r>
          </w:p>
          <w:p>
            <w:p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strike/>
                <w:color w:val="auto"/>
                <w:sz w:val="21"/>
                <w:szCs w:val="21"/>
                <w:shd w:val="clear" w:color="auto" w:fill="FFFFFF"/>
              </w:rPr>
              <w:t>（三）招标人以不合理的条件限制或者排斥潜在投标人的，对潜在投标人实行歧视待遇的，强制要求投标人组成联合体共同投标的，或者限制投标人之间竞争的；</w:t>
            </w:r>
          </w:p>
        </w:tc>
        <w:tc>
          <w:tcPr>
            <w:tcW w:w="7320" w:type="dxa"/>
            <w:vAlign w:val="center"/>
          </w:tcPr>
          <w:p>
            <w:pPr>
              <w:numPr>
                <w:ilvl w:val="0"/>
                <w:numId w:val="0"/>
              </w:numPr>
              <w:spacing w:line="360" w:lineRule="exact"/>
              <w:ind w:leftChars="0" w:firstLine="420" w:firstLineChars="200"/>
              <w:jc w:val="both"/>
              <w:rPr>
                <w:rFonts w:hint="eastAsia" w:asciiTheme="minorEastAsia" w:hAnsiTheme="minorEastAsia" w:eastAsiaTheme="minorEastAsia" w:cstheme="minorEastAsia"/>
                <w:b/>
                <w:bCs/>
                <w:color w:val="auto"/>
                <w:sz w:val="21"/>
                <w:szCs w:val="21"/>
                <w:highlight w:val="none"/>
                <w:u w:val="none"/>
                <w:shd w:val="clear"/>
              </w:rPr>
            </w:pPr>
            <w:r>
              <w:rPr>
                <w:rFonts w:hint="eastAsia" w:asciiTheme="minorEastAsia" w:hAnsiTheme="minorEastAsia" w:eastAsiaTheme="minorEastAsia" w:cstheme="minorEastAsia"/>
                <w:color w:val="auto"/>
                <w:sz w:val="21"/>
                <w:szCs w:val="21"/>
              </w:rPr>
              <w:t>第八条　</w:t>
            </w:r>
            <w:r>
              <w:rPr>
                <w:rFonts w:hint="eastAsia" w:asciiTheme="minorEastAsia" w:hAnsiTheme="minorEastAsia" w:eastAsiaTheme="minorEastAsia" w:cstheme="minorEastAsia"/>
                <w:color w:val="auto"/>
                <w:sz w:val="21"/>
                <w:szCs w:val="21"/>
                <w:shd w:val="clear" w:color="auto" w:fill="FFFFFF"/>
              </w:rPr>
              <w:t>失信信息是指公共资源交易活动当事人在从事公共资源交易活动中违反法律法规规章，违背诚实信用、公平竞争原则</w:t>
            </w:r>
            <w:r>
              <w:rPr>
                <w:rFonts w:hint="eastAsia" w:asciiTheme="minorEastAsia" w:hAnsiTheme="minorEastAsia" w:eastAsiaTheme="minorEastAsia" w:cstheme="minorEastAsia"/>
                <w:b/>
                <w:bCs/>
                <w:color w:val="auto"/>
                <w:sz w:val="21"/>
                <w:szCs w:val="21"/>
                <w:shd w:val="clear" w:color="auto" w:fill="FFFFFF"/>
                <w:lang w:eastAsia="zh-CN"/>
              </w:rPr>
              <w:t>，违反</w:t>
            </w:r>
            <w:r>
              <w:rPr>
                <w:rFonts w:hint="eastAsia" w:asciiTheme="minorEastAsia" w:hAnsiTheme="minorEastAsia" w:eastAsiaTheme="minorEastAsia" w:cstheme="minorEastAsia"/>
                <w:color w:val="auto"/>
                <w:sz w:val="21"/>
                <w:szCs w:val="21"/>
                <w:shd w:val="clear" w:color="auto" w:fill="FFFFFF"/>
              </w:rPr>
              <w:t>强制性标准或执业行为规范</w:t>
            </w:r>
            <w:r>
              <w:rPr>
                <w:rFonts w:hint="eastAsia" w:asciiTheme="minorEastAsia" w:hAnsiTheme="minorEastAsia" w:eastAsiaTheme="minorEastAsia" w:cstheme="minorEastAsia"/>
                <w:b/>
                <w:bCs/>
                <w:color w:val="auto"/>
                <w:sz w:val="21"/>
                <w:szCs w:val="21"/>
                <w:shd w:val="clear" w:color="auto" w:fill="FFFFFF"/>
                <w:lang w:eastAsia="zh-CN"/>
              </w:rPr>
              <w:t>等</w:t>
            </w:r>
            <w:r>
              <w:rPr>
                <w:rFonts w:hint="eastAsia" w:asciiTheme="minorEastAsia" w:hAnsiTheme="minorEastAsia" w:eastAsiaTheme="minorEastAsia" w:cstheme="minorEastAsia"/>
                <w:color w:val="auto"/>
                <w:sz w:val="21"/>
                <w:szCs w:val="21"/>
                <w:shd w:val="clear" w:color="auto" w:fill="FFFFFF"/>
              </w:rPr>
              <w:t>，被行政监督管理部门、司法机关以及法律法规授权的具有公共事务管理职能的机构依法实施行政处罚或作出处理决定的信息。</w:t>
            </w:r>
            <w:r>
              <w:rPr>
                <w:rFonts w:hint="eastAsia" w:asciiTheme="minorEastAsia" w:hAnsiTheme="minorEastAsia" w:eastAsiaTheme="minorEastAsia" w:cstheme="minorEastAsia"/>
                <w:b/>
                <w:bCs/>
                <w:color w:val="auto"/>
                <w:sz w:val="21"/>
                <w:szCs w:val="21"/>
                <w:highlight w:val="none"/>
                <w:u w:val="none"/>
                <w:shd w:val="clear"/>
                <w:lang w:eastAsia="zh-CN"/>
              </w:rPr>
              <w:t>包括但不限于以下情形：</w:t>
            </w:r>
          </w:p>
          <w:p>
            <w:pPr>
              <w:numPr>
                <w:ilvl w:val="0"/>
                <w:numId w:val="0"/>
              </w:numPr>
              <w:spacing w:line="360" w:lineRule="exact"/>
              <w:ind w:leftChars="0" w:firstLine="422" w:firstLineChars="200"/>
              <w:jc w:val="both"/>
              <w:rPr>
                <w:rFonts w:hint="eastAsia" w:asciiTheme="minorEastAsia" w:hAnsiTheme="minorEastAsia" w:eastAsiaTheme="minorEastAsia" w:cstheme="minorEastAsia"/>
                <w:b/>
                <w:bCs/>
                <w:color w:val="auto"/>
                <w:sz w:val="21"/>
                <w:szCs w:val="21"/>
                <w:u w:val="none"/>
                <w:shd w:val="clear" w:color="auto" w:fill="auto"/>
              </w:rPr>
            </w:pPr>
            <w:r>
              <w:rPr>
                <w:rFonts w:hint="eastAsia" w:asciiTheme="minorEastAsia" w:hAnsiTheme="minorEastAsia" w:eastAsiaTheme="minorEastAsia" w:cstheme="minorEastAsia"/>
                <w:b/>
                <w:bCs/>
                <w:color w:val="auto"/>
                <w:sz w:val="21"/>
                <w:szCs w:val="21"/>
                <w:u w:val="none"/>
                <w:shd w:val="clear" w:color="auto" w:fill="auto"/>
              </w:rPr>
              <w:t>（一）违反公平竞争原则，损害国家利益、社会公共利益或者他人合法权益的；</w:t>
            </w:r>
          </w:p>
          <w:p>
            <w:pPr>
              <w:numPr>
                <w:ilvl w:val="0"/>
                <w:numId w:val="0"/>
              </w:numPr>
              <w:spacing w:line="360" w:lineRule="exact"/>
              <w:ind w:leftChars="0" w:firstLine="422" w:firstLineChars="200"/>
              <w:jc w:val="both"/>
              <w:rPr>
                <w:rFonts w:hint="eastAsia" w:asciiTheme="minorEastAsia" w:hAnsiTheme="minorEastAsia" w:eastAsiaTheme="minorEastAsia" w:cstheme="minorEastAsia"/>
                <w:b/>
                <w:bCs/>
                <w:color w:val="auto"/>
                <w:sz w:val="21"/>
                <w:szCs w:val="21"/>
                <w:u w:val="none"/>
                <w:shd w:val="clear" w:color="auto" w:fill="auto"/>
              </w:rPr>
            </w:pPr>
            <w:r>
              <w:rPr>
                <w:rFonts w:hint="eastAsia" w:asciiTheme="minorEastAsia" w:hAnsiTheme="minorEastAsia" w:eastAsiaTheme="minorEastAsia" w:cstheme="minorEastAsia"/>
                <w:b/>
                <w:bCs/>
                <w:color w:val="auto"/>
                <w:sz w:val="21"/>
                <w:szCs w:val="21"/>
                <w:u w:val="none"/>
                <w:shd w:val="clear" w:color="auto" w:fill="auto"/>
              </w:rPr>
              <w:t>（二）提供虚假材料谋取交易的；</w:t>
            </w:r>
          </w:p>
          <w:p>
            <w:pPr>
              <w:numPr>
                <w:ilvl w:val="0"/>
                <w:numId w:val="0"/>
              </w:numPr>
              <w:spacing w:line="360" w:lineRule="exact"/>
              <w:ind w:leftChars="0" w:firstLine="422" w:firstLineChars="200"/>
              <w:jc w:val="both"/>
              <w:rPr>
                <w:rFonts w:hint="eastAsia" w:asciiTheme="minorEastAsia" w:hAnsiTheme="minorEastAsia" w:eastAsiaTheme="minorEastAsia" w:cstheme="minorEastAsia"/>
                <w:b/>
                <w:bCs/>
                <w:color w:val="auto"/>
                <w:sz w:val="21"/>
                <w:szCs w:val="21"/>
                <w:u w:val="none"/>
                <w:shd w:val="clear" w:color="auto" w:fill="auto"/>
              </w:rPr>
            </w:pPr>
            <w:r>
              <w:rPr>
                <w:rFonts w:hint="eastAsia" w:asciiTheme="minorEastAsia" w:hAnsiTheme="minorEastAsia" w:eastAsiaTheme="minorEastAsia" w:cstheme="minorEastAsia"/>
                <w:b/>
                <w:bCs/>
                <w:color w:val="auto"/>
                <w:sz w:val="21"/>
                <w:szCs w:val="21"/>
                <w:u w:val="none"/>
                <w:shd w:val="clear" w:color="auto" w:fill="auto"/>
              </w:rPr>
              <w:t>（三）当事人之间恶意串通的；</w:t>
            </w:r>
          </w:p>
          <w:p>
            <w:pPr>
              <w:numPr>
                <w:ilvl w:val="0"/>
                <w:numId w:val="0"/>
              </w:numPr>
              <w:spacing w:line="360" w:lineRule="exact"/>
              <w:ind w:leftChars="0" w:firstLine="422" w:firstLineChars="200"/>
              <w:jc w:val="both"/>
              <w:rPr>
                <w:rFonts w:hint="eastAsia" w:asciiTheme="minorEastAsia" w:hAnsiTheme="minorEastAsia" w:eastAsiaTheme="minorEastAsia" w:cstheme="minorEastAsia"/>
                <w:b/>
                <w:bCs/>
                <w:color w:val="auto"/>
                <w:sz w:val="21"/>
                <w:szCs w:val="21"/>
                <w:u w:val="none"/>
                <w:shd w:val="clear" w:color="auto" w:fill="auto"/>
              </w:rPr>
            </w:pPr>
            <w:r>
              <w:rPr>
                <w:rFonts w:hint="eastAsia" w:asciiTheme="minorEastAsia" w:hAnsiTheme="minorEastAsia" w:eastAsiaTheme="minorEastAsia" w:cstheme="minorEastAsia"/>
                <w:b/>
                <w:bCs/>
                <w:color w:val="auto"/>
                <w:sz w:val="21"/>
                <w:szCs w:val="21"/>
                <w:u w:val="none"/>
                <w:shd w:val="clear" w:color="auto" w:fill="auto"/>
              </w:rPr>
              <w:t>（四）以他人名义交易或者以其他方式弄虚作假，骗取交易的；</w:t>
            </w:r>
          </w:p>
          <w:p>
            <w:pPr>
              <w:numPr>
                <w:ilvl w:val="0"/>
                <w:numId w:val="0"/>
              </w:numPr>
              <w:spacing w:line="360" w:lineRule="exact"/>
              <w:ind w:leftChars="0" w:firstLine="422" w:firstLineChars="200"/>
              <w:jc w:val="both"/>
              <w:rPr>
                <w:rFonts w:hint="eastAsia" w:asciiTheme="minorEastAsia" w:hAnsiTheme="minorEastAsia" w:eastAsiaTheme="minorEastAsia" w:cstheme="minorEastAsia"/>
                <w:b/>
                <w:bCs/>
                <w:color w:val="auto"/>
                <w:sz w:val="21"/>
                <w:szCs w:val="21"/>
                <w:u w:val="none"/>
                <w:shd w:val="clear" w:color="auto" w:fill="auto"/>
              </w:rPr>
            </w:pPr>
            <w:r>
              <w:rPr>
                <w:rFonts w:hint="eastAsia" w:asciiTheme="minorEastAsia" w:hAnsiTheme="minorEastAsia" w:eastAsiaTheme="minorEastAsia" w:cstheme="minorEastAsia"/>
                <w:b/>
                <w:bCs/>
                <w:color w:val="auto"/>
                <w:sz w:val="21"/>
                <w:szCs w:val="21"/>
                <w:u w:val="none"/>
                <w:shd w:val="clear" w:color="auto" w:fill="auto"/>
              </w:rPr>
              <w:t>（五）背离合同实质性内容再订立其他协议的；</w:t>
            </w:r>
          </w:p>
          <w:p>
            <w:pPr>
              <w:numPr>
                <w:ilvl w:val="0"/>
                <w:numId w:val="0"/>
              </w:numPr>
              <w:spacing w:line="360" w:lineRule="exact"/>
              <w:ind w:leftChars="0" w:firstLine="422" w:firstLineChars="200"/>
              <w:jc w:val="both"/>
              <w:rPr>
                <w:rFonts w:hint="eastAsia" w:asciiTheme="minorEastAsia" w:hAnsiTheme="minorEastAsia" w:eastAsiaTheme="minorEastAsia" w:cstheme="minorEastAsia"/>
                <w:b/>
                <w:bCs/>
                <w:color w:val="auto"/>
                <w:sz w:val="21"/>
                <w:szCs w:val="21"/>
                <w:u w:val="none"/>
                <w:shd w:val="clear" w:color="auto" w:fill="auto"/>
              </w:rPr>
            </w:pPr>
            <w:r>
              <w:rPr>
                <w:rFonts w:hint="eastAsia" w:asciiTheme="minorEastAsia" w:hAnsiTheme="minorEastAsia" w:eastAsiaTheme="minorEastAsia" w:cstheme="minorEastAsia"/>
                <w:b/>
                <w:bCs/>
                <w:color w:val="auto"/>
                <w:sz w:val="21"/>
                <w:szCs w:val="21"/>
                <w:u w:val="none"/>
                <w:shd w:val="clear" w:color="auto" w:fill="auto"/>
              </w:rPr>
              <w:t>（六）通过行贿等非法手段谋取利益的；</w:t>
            </w:r>
          </w:p>
          <w:p>
            <w:pPr>
              <w:numPr>
                <w:ilvl w:val="0"/>
                <w:numId w:val="0"/>
              </w:numPr>
              <w:spacing w:line="360" w:lineRule="exact"/>
              <w:ind w:firstLine="422" w:firstLineChars="200"/>
              <w:jc w:val="both"/>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bCs/>
                <w:color w:val="auto"/>
                <w:sz w:val="21"/>
                <w:szCs w:val="21"/>
                <w:u w:val="none"/>
                <w:shd w:val="clear" w:color="auto" w:fill="auto"/>
              </w:rPr>
              <w:t>（七）拒不履行法定义务，严重影响司法机关、行政机关公信力的；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00" w:lineRule="exact"/>
              <w:jc w:val="center"/>
              <w:rPr>
                <w:rFonts w:hint="eastAsia" w:ascii="黑体" w:hAnsi="黑体" w:eastAsia="黑体" w:cs="黑体"/>
                <w:color w:val="auto"/>
                <w:sz w:val="28"/>
                <w:szCs w:val="28"/>
                <w:lang w:val="en-US" w:eastAsia="zh-CN"/>
              </w:rPr>
            </w:pPr>
            <w:r>
              <w:rPr>
                <w:rFonts w:hint="eastAsia" w:ascii="黑体" w:hAnsi="黑体" w:eastAsia="黑体" w:cs="黑体"/>
                <w:b w:val="0"/>
                <w:bCs/>
                <w:color w:val="auto"/>
                <w:sz w:val="28"/>
                <w:szCs w:val="28"/>
              </w:rPr>
              <w:t>序</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号</w:t>
            </w:r>
          </w:p>
        </w:tc>
        <w:tc>
          <w:tcPr>
            <w:tcW w:w="6240" w:type="dxa"/>
            <w:vAlign w:val="center"/>
          </w:tcPr>
          <w:p>
            <w:pPr>
              <w:spacing w:line="300" w:lineRule="exact"/>
              <w:jc w:val="center"/>
              <w:rPr>
                <w:rFonts w:hint="eastAsia" w:ascii="Helvetica" w:hAnsi="Helvetica"/>
                <w:color w:val="auto"/>
                <w:sz w:val="28"/>
                <w:szCs w:val="28"/>
                <w:shd w:val="clear" w:color="auto" w:fill="FFFFFF"/>
              </w:rPr>
            </w:pPr>
            <w:r>
              <w:rPr>
                <w:rFonts w:hint="eastAsia" w:ascii="黑体" w:hAnsi="黑体" w:eastAsia="黑体" w:cs="黑体"/>
                <w:b w:val="0"/>
                <w:bCs/>
                <w:color w:val="auto"/>
                <w:sz w:val="28"/>
                <w:szCs w:val="28"/>
                <w:lang w:eastAsia="zh-CN"/>
              </w:rPr>
              <w:t>现行规定</w:t>
            </w:r>
          </w:p>
        </w:tc>
        <w:tc>
          <w:tcPr>
            <w:tcW w:w="7320" w:type="dxa"/>
            <w:vAlign w:val="center"/>
          </w:tcPr>
          <w:p>
            <w:pPr>
              <w:spacing w:line="300" w:lineRule="exact"/>
              <w:jc w:val="center"/>
              <w:rPr>
                <w:rFonts w:hint="eastAsia"/>
                <w:color w:val="auto"/>
                <w:sz w:val="28"/>
                <w:szCs w:val="28"/>
                <w:lang w:val="en-US" w:eastAsia="zh-CN"/>
              </w:rPr>
            </w:pPr>
            <w:r>
              <w:rPr>
                <w:rFonts w:hint="eastAsia" w:ascii="黑体" w:hAnsi="黑体" w:eastAsia="黑体" w:cs="黑体"/>
                <w:b w:val="0"/>
                <w:bCs/>
                <w:color w:val="auto"/>
                <w:sz w:val="28"/>
                <w:szCs w:val="28"/>
              </w:rPr>
              <w:t>修改后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第八条</w:t>
            </w:r>
          </w:p>
        </w:tc>
        <w:tc>
          <w:tcPr>
            <w:tcW w:w="6240" w:type="dxa"/>
            <w:vAlign w:val="center"/>
          </w:tcPr>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（四）依法必须进行招标的项目的招标人向他人透露已获取招标文件的潜在投标人的名称、数量或者可能影响公平竞争的有关招标投标的其他情况的，或者泄露标底的；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（五）投标人相互串通投标或者与招标人串通投标的，投标人以向招标人或者评标委员会成员行贿的手段谋取中标的；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（六）投标人以他人名义投标或者以其他方式弄虚作假，骗取中标的；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（七）依法必须进行招标的项目，招标人违反法律规定，与投标人就投标价格、投标方案等实质性内容进行谈判的；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（八）评标委员会成员收受投标人的财物或者其他好处的，评标委员会成员或者参加评标的有关工作人员向他人透露对投标文件的评审和比较、中标候选人的推荐以及与评标有关的其他情况的；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（九）招标人在评标委员会依法推荐的中标候选人以外确定中标人的，依法必须进行招标的项目在所有投标被评标委员会否决后自行确定中标人的；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（十）中标人将中标项目转让给他人的，将中标项目肢解后分别转让给他人的，违反法律规定将中标项目的部分主体、关键性工作分包给他人的，或者分包人再次分包的；</w:t>
            </w:r>
          </w:p>
          <w:p>
            <w:p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（十一）招标人与中标人不按照招标文件和中标人的投标文件</w:t>
            </w:r>
          </w:p>
        </w:tc>
        <w:tc>
          <w:tcPr>
            <w:tcW w:w="7320" w:type="dxa"/>
            <w:vAlign w:val="center"/>
          </w:tcPr>
          <w:p>
            <w:pPr>
              <w:numPr>
                <w:ilvl w:val="0"/>
                <w:numId w:val="0"/>
              </w:numPr>
              <w:spacing w:line="360" w:lineRule="exact"/>
              <w:ind w:firstLine="422" w:firstLineChars="200"/>
              <w:jc w:val="both"/>
              <w:rPr>
                <w:rFonts w:hint="eastAsia" w:asciiTheme="minorEastAsia" w:hAnsiTheme="minorEastAsia" w:eastAsiaTheme="minorEastAsia" w:cstheme="minorEastAsia"/>
                <w:b/>
                <w:bCs/>
                <w:color w:val="auto"/>
                <w:szCs w:val="21"/>
                <w:u w:val="none"/>
                <w:shd w:val="clear" w:color="auto" w:fill="auto"/>
              </w:rPr>
            </w:pPr>
            <w:r>
              <w:rPr>
                <w:rFonts w:hint="eastAsia" w:asciiTheme="minorEastAsia" w:hAnsiTheme="minorEastAsia" w:eastAsiaTheme="minorEastAsia" w:cstheme="minorEastAsia"/>
                <w:b/>
                <w:bCs/>
                <w:color w:val="auto"/>
                <w:szCs w:val="21"/>
                <w:u w:val="none"/>
                <w:shd w:val="clear" w:color="auto" w:fill="auto"/>
              </w:rPr>
              <w:t>（八）向他人透露对交易文件的评标评审和比较、中标候选人的推荐以及与评标评审有关的其他情况的；</w:t>
            </w:r>
          </w:p>
          <w:p>
            <w:pPr>
              <w:numPr>
                <w:ilvl w:val="0"/>
                <w:numId w:val="0"/>
              </w:numPr>
              <w:spacing w:line="360" w:lineRule="exact"/>
              <w:ind w:leftChars="0" w:firstLine="422" w:firstLineChars="200"/>
              <w:jc w:val="both"/>
              <w:rPr>
                <w:rFonts w:hint="eastAsia" w:asciiTheme="minorEastAsia" w:hAnsiTheme="minorEastAsia" w:eastAsiaTheme="minorEastAsia" w:cstheme="minorEastAsia"/>
                <w:b/>
                <w:bCs/>
                <w:color w:val="auto"/>
                <w:szCs w:val="21"/>
                <w:u w:val="none"/>
                <w:shd w:val="clear" w:color="auto" w:fill="auto"/>
              </w:rPr>
            </w:pPr>
            <w:r>
              <w:rPr>
                <w:rFonts w:hint="eastAsia" w:asciiTheme="minorEastAsia" w:hAnsiTheme="minorEastAsia" w:eastAsiaTheme="minorEastAsia" w:cstheme="minorEastAsia"/>
                <w:b/>
                <w:bCs/>
                <w:color w:val="auto"/>
                <w:szCs w:val="21"/>
                <w:u w:val="none"/>
                <w:shd w:val="clear" w:color="auto" w:fill="auto"/>
              </w:rPr>
              <w:t>（九）拒绝有关部门监督检查或者提供虚假情况的；</w:t>
            </w:r>
          </w:p>
          <w:p>
            <w:pPr>
              <w:numPr>
                <w:ilvl w:val="0"/>
                <w:numId w:val="0"/>
              </w:numPr>
              <w:spacing w:line="360" w:lineRule="exact"/>
              <w:ind w:leftChars="0" w:firstLine="422" w:firstLineChars="200"/>
              <w:jc w:val="both"/>
              <w:rPr>
                <w:rFonts w:hint="eastAsia" w:asciiTheme="minorEastAsia" w:hAnsiTheme="minorEastAsia" w:eastAsiaTheme="minorEastAsia" w:cstheme="minorEastAsia"/>
                <w:b/>
                <w:bCs/>
                <w:color w:val="auto"/>
                <w:szCs w:val="21"/>
                <w:u w:val="none"/>
                <w:shd w:val="clear" w:color="auto" w:fill="auto"/>
              </w:rPr>
            </w:pPr>
            <w:r>
              <w:rPr>
                <w:rFonts w:hint="eastAsia" w:asciiTheme="minorEastAsia" w:hAnsiTheme="minorEastAsia" w:eastAsiaTheme="minorEastAsia" w:cstheme="minorEastAsia"/>
                <w:b/>
                <w:bCs/>
                <w:color w:val="auto"/>
                <w:szCs w:val="21"/>
                <w:u w:val="none"/>
                <w:shd w:val="clear" w:color="auto" w:fill="auto"/>
              </w:rPr>
              <w:t>（十）捏造事实、伪造材料，或者以非法手段获取证明材料进行质疑投诉的；</w:t>
            </w:r>
          </w:p>
          <w:p>
            <w:pPr>
              <w:numPr>
                <w:ilvl w:val="0"/>
                <w:numId w:val="0"/>
              </w:numPr>
              <w:spacing w:line="360" w:lineRule="exact"/>
              <w:ind w:leftChars="0" w:firstLine="422" w:firstLineChars="200"/>
              <w:jc w:val="both"/>
              <w:rPr>
                <w:rFonts w:hint="eastAsia" w:asciiTheme="minorEastAsia" w:hAnsiTheme="minorEastAsia" w:eastAsiaTheme="minorEastAsia" w:cstheme="minorEastAsia"/>
                <w:b/>
                <w:bCs/>
                <w:color w:val="auto"/>
                <w:szCs w:val="21"/>
                <w:u w:val="none"/>
                <w:shd w:val="clear" w:color="auto" w:fill="auto"/>
              </w:rPr>
            </w:pPr>
            <w:r>
              <w:rPr>
                <w:rFonts w:hint="eastAsia" w:asciiTheme="minorEastAsia" w:hAnsiTheme="minorEastAsia" w:eastAsiaTheme="minorEastAsia" w:cstheme="minorEastAsia"/>
                <w:b/>
                <w:bCs/>
                <w:color w:val="auto"/>
                <w:szCs w:val="21"/>
                <w:u w:val="none"/>
                <w:shd w:val="clear" w:color="auto" w:fill="auto"/>
              </w:rPr>
              <w:t>（十一）向他人透露应当保密的信息以及隐匿、销毁应当保存的文件资料或者伪造、编造文件资料的；</w:t>
            </w:r>
          </w:p>
          <w:p>
            <w:pPr>
              <w:numPr>
                <w:ilvl w:val="0"/>
                <w:numId w:val="0"/>
              </w:numPr>
              <w:spacing w:line="360" w:lineRule="exact"/>
              <w:ind w:leftChars="0" w:firstLine="422" w:firstLineChars="200"/>
              <w:jc w:val="both"/>
              <w:rPr>
                <w:rFonts w:hint="eastAsia" w:asciiTheme="minorEastAsia" w:hAnsiTheme="minorEastAsia" w:eastAsiaTheme="minorEastAsia" w:cstheme="minorEastAsia"/>
                <w:b/>
                <w:bCs/>
                <w:color w:val="auto"/>
                <w:szCs w:val="21"/>
                <w:u w:val="none"/>
                <w:shd w:val="clear" w:color="auto" w:fill="auto"/>
              </w:rPr>
            </w:pPr>
            <w:r>
              <w:rPr>
                <w:rFonts w:hint="eastAsia" w:asciiTheme="minorEastAsia" w:hAnsiTheme="minorEastAsia" w:eastAsiaTheme="minorEastAsia" w:cstheme="minorEastAsia"/>
                <w:b/>
                <w:bCs/>
                <w:color w:val="auto"/>
                <w:szCs w:val="21"/>
                <w:u w:val="none"/>
                <w:shd w:val="clear" w:color="auto" w:fill="auto"/>
              </w:rPr>
              <w:t>（十二）接受贿赂、利用职务之便谋取不正当利益的；</w:t>
            </w:r>
          </w:p>
          <w:p>
            <w:pPr>
              <w:numPr>
                <w:ilvl w:val="0"/>
                <w:numId w:val="0"/>
              </w:numPr>
              <w:spacing w:line="360" w:lineRule="exact"/>
              <w:ind w:leftChars="0" w:firstLine="422" w:firstLineChars="200"/>
              <w:jc w:val="both"/>
              <w:rPr>
                <w:rFonts w:hint="eastAsia" w:asciiTheme="minorEastAsia" w:hAnsiTheme="minorEastAsia" w:eastAsiaTheme="minorEastAsia" w:cstheme="minorEastAsia"/>
                <w:b/>
                <w:bCs/>
                <w:color w:val="auto"/>
                <w:szCs w:val="21"/>
                <w:u w:val="none"/>
                <w:shd w:val="clear" w:color="auto" w:fill="auto"/>
              </w:rPr>
            </w:pPr>
            <w:r>
              <w:rPr>
                <w:rFonts w:hint="eastAsia" w:asciiTheme="minorEastAsia" w:hAnsiTheme="minorEastAsia" w:eastAsiaTheme="minorEastAsia" w:cstheme="minorEastAsia"/>
                <w:b/>
                <w:bCs/>
                <w:color w:val="auto"/>
                <w:szCs w:val="21"/>
                <w:u w:val="none"/>
                <w:shd w:val="clear" w:color="auto" w:fill="auto"/>
              </w:rPr>
              <w:t>（十三）招标人规避招标或拒不履行合同义务的；</w:t>
            </w:r>
          </w:p>
          <w:p>
            <w:pPr>
              <w:numPr>
                <w:ilvl w:val="0"/>
                <w:numId w:val="0"/>
              </w:numPr>
              <w:spacing w:line="360" w:lineRule="exact"/>
              <w:ind w:leftChars="0" w:firstLine="422" w:firstLineChars="200"/>
              <w:jc w:val="both"/>
              <w:rPr>
                <w:rFonts w:hint="eastAsia" w:asciiTheme="minorEastAsia" w:hAnsiTheme="minorEastAsia" w:eastAsiaTheme="minorEastAsia" w:cstheme="minorEastAsia"/>
                <w:b/>
                <w:bCs/>
                <w:color w:val="auto"/>
                <w:szCs w:val="21"/>
                <w:u w:val="none"/>
                <w:shd w:val="clear" w:color="auto" w:fill="auto"/>
              </w:rPr>
            </w:pPr>
            <w:r>
              <w:rPr>
                <w:rFonts w:hint="eastAsia" w:asciiTheme="minorEastAsia" w:hAnsiTheme="minorEastAsia" w:eastAsiaTheme="minorEastAsia" w:cstheme="minorEastAsia"/>
                <w:b/>
                <w:bCs/>
                <w:color w:val="auto"/>
                <w:szCs w:val="21"/>
                <w:u w:val="none"/>
                <w:shd w:val="clear" w:color="auto" w:fill="auto"/>
              </w:rPr>
              <w:t>（十四）未履行公开承诺内容的；</w:t>
            </w:r>
          </w:p>
          <w:p>
            <w:pPr>
              <w:numPr>
                <w:ilvl w:val="0"/>
                <w:numId w:val="0"/>
              </w:numPr>
              <w:spacing w:line="360" w:lineRule="exact"/>
              <w:ind w:leftChars="0" w:firstLine="422" w:firstLineChars="200"/>
              <w:jc w:val="both"/>
              <w:rPr>
                <w:rFonts w:hint="eastAsia" w:asciiTheme="minorEastAsia" w:hAnsiTheme="minorEastAsia" w:eastAsiaTheme="minorEastAsia" w:cstheme="minorEastAsia"/>
                <w:b/>
                <w:bCs/>
                <w:color w:val="auto"/>
                <w:szCs w:val="21"/>
                <w:u w:val="none"/>
                <w:shd w:val="clear" w:color="auto" w:fill="auto"/>
              </w:rPr>
            </w:pPr>
            <w:r>
              <w:rPr>
                <w:rFonts w:hint="eastAsia" w:asciiTheme="minorEastAsia" w:hAnsiTheme="minorEastAsia" w:eastAsiaTheme="minorEastAsia" w:cstheme="minorEastAsia"/>
                <w:b/>
                <w:bCs/>
                <w:color w:val="auto"/>
                <w:szCs w:val="21"/>
                <w:u w:val="none"/>
                <w:shd w:val="clear" w:color="auto" w:fill="auto"/>
              </w:rPr>
              <w:t>（十五）</w:t>
            </w:r>
            <w:r>
              <w:rPr>
                <w:rFonts w:hint="eastAsia" w:asciiTheme="minorEastAsia" w:hAnsiTheme="minorEastAsia" w:eastAsiaTheme="minorEastAsia" w:cstheme="minorEastAsia"/>
                <w:b/>
                <w:bCs/>
                <w:color w:val="auto"/>
                <w:szCs w:val="21"/>
                <w:u w:val="none"/>
                <w:shd w:val="clear" w:color="auto" w:fill="auto"/>
                <w:lang w:eastAsia="zh-CN"/>
              </w:rPr>
              <w:t>行政监督管理部门</w:t>
            </w:r>
            <w:r>
              <w:rPr>
                <w:rFonts w:hint="eastAsia" w:asciiTheme="minorEastAsia" w:hAnsiTheme="minorEastAsia" w:eastAsiaTheme="minorEastAsia" w:cstheme="minorEastAsia"/>
                <w:b/>
                <w:bCs/>
                <w:color w:val="auto"/>
                <w:szCs w:val="21"/>
                <w:u w:val="none"/>
                <w:shd w:val="clear" w:color="auto" w:fill="auto"/>
              </w:rPr>
              <w:t>作出行政处理决定、行政处罚后，拒不履行或逃避执行的；</w:t>
            </w:r>
          </w:p>
          <w:p>
            <w:pPr>
              <w:numPr>
                <w:ilvl w:val="0"/>
                <w:numId w:val="0"/>
              </w:numPr>
              <w:spacing w:line="360" w:lineRule="exact"/>
              <w:ind w:leftChars="0" w:firstLine="422" w:firstLineChars="200"/>
              <w:jc w:val="both"/>
              <w:rPr>
                <w:rFonts w:hint="eastAsia" w:asciiTheme="minorEastAsia" w:hAnsiTheme="minorEastAsia" w:eastAsiaTheme="minorEastAsia" w:cstheme="minorEastAsia"/>
                <w:b/>
                <w:bCs/>
                <w:color w:val="auto"/>
                <w:szCs w:val="21"/>
                <w:u w:val="none"/>
                <w:shd w:val="clear" w:color="auto" w:fill="auto"/>
              </w:rPr>
            </w:pPr>
            <w:r>
              <w:rPr>
                <w:rFonts w:hint="eastAsia" w:asciiTheme="minorEastAsia" w:hAnsiTheme="minorEastAsia" w:eastAsiaTheme="minorEastAsia" w:cstheme="minorEastAsia"/>
                <w:b/>
                <w:bCs/>
                <w:color w:val="auto"/>
                <w:szCs w:val="21"/>
                <w:u w:val="none"/>
                <w:shd w:val="clear" w:color="auto" w:fill="auto"/>
                <w:lang w:val="en-US" w:eastAsia="zh-CN"/>
              </w:rPr>
              <w:t>（十六）被人民法院列为失信被执行人的；</w:t>
            </w:r>
          </w:p>
          <w:p>
            <w:pPr>
              <w:numPr>
                <w:ilvl w:val="0"/>
                <w:numId w:val="0"/>
              </w:numPr>
              <w:spacing w:line="360" w:lineRule="exact"/>
              <w:ind w:leftChars="0" w:firstLine="422" w:firstLineChars="200"/>
              <w:jc w:val="both"/>
              <w:rPr>
                <w:rFonts w:hint="eastAsia" w:asciiTheme="minorEastAsia" w:hAnsiTheme="minorEastAsia" w:eastAsiaTheme="minorEastAsia" w:cstheme="minorEastAsia"/>
                <w:b/>
                <w:bCs/>
                <w:color w:val="auto"/>
                <w:szCs w:val="21"/>
                <w:u w:val="none"/>
                <w:shd w:val="clear" w:color="auto" w:fill="auto"/>
                <w:lang w:eastAsia="zh-CN"/>
              </w:rPr>
            </w:pPr>
            <w:r>
              <w:rPr>
                <w:rFonts w:hint="eastAsia" w:asciiTheme="minorEastAsia" w:hAnsiTheme="minorEastAsia" w:eastAsiaTheme="minorEastAsia" w:cstheme="minorEastAsia"/>
                <w:b/>
                <w:bCs/>
                <w:color w:val="auto"/>
                <w:szCs w:val="21"/>
                <w:u w:val="none"/>
                <w:shd w:val="clear" w:color="auto" w:fill="auto"/>
              </w:rPr>
              <w:t>（十</w:t>
            </w:r>
            <w:r>
              <w:rPr>
                <w:rFonts w:hint="eastAsia" w:asciiTheme="minorEastAsia" w:hAnsiTheme="minorEastAsia" w:eastAsiaTheme="minorEastAsia" w:cstheme="minorEastAsia"/>
                <w:b/>
                <w:bCs/>
                <w:color w:val="auto"/>
                <w:szCs w:val="21"/>
                <w:u w:val="none"/>
                <w:shd w:val="clear" w:color="auto" w:fill="auto"/>
                <w:lang w:eastAsia="zh-CN"/>
              </w:rPr>
              <w:t>七</w:t>
            </w:r>
            <w:r>
              <w:rPr>
                <w:rFonts w:hint="eastAsia" w:asciiTheme="minorEastAsia" w:hAnsiTheme="minorEastAsia" w:eastAsiaTheme="minorEastAsia" w:cstheme="minorEastAsia"/>
                <w:b/>
                <w:bCs/>
                <w:color w:val="auto"/>
                <w:szCs w:val="21"/>
                <w:u w:val="none"/>
                <w:shd w:val="clear" w:color="auto" w:fill="auto"/>
              </w:rPr>
              <w:t>）在从事公共资源交易活动过程中，存在违反相关法律、法规、规章</w:t>
            </w:r>
            <w:r>
              <w:rPr>
                <w:rFonts w:hint="eastAsia" w:asciiTheme="minorEastAsia" w:hAnsiTheme="minorEastAsia" w:eastAsiaTheme="minorEastAsia" w:cstheme="minorEastAsia"/>
                <w:b/>
                <w:bCs/>
                <w:color w:val="auto"/>
                <w:szCs w:val="21"/>
                <w:u w:val="none"/>
                <w:shd w:val="clear" w:color="auto" w:fill="auto"/>
                <w:lang w:eastAsia="zh-CN"/>
              </w:rPr>
              <w:t>或者</w:t>
            </w:r>
            <w:r>
              <w:rPr>
                <w:rFonts w:hint="eastAsia" w:asciiTheme="minorEastAsia" w:hAnsiTheme="minorEastAsia" w:eastAsiaTheme="minorEastAsia" w:cstheme="minorEastAsia"/>
                <w:b/>
                <w:bCs/>
                <w:color w:val="auto"/>
                <w:szCs w:val="21"/>
                <w:u w:val="none"/>
                <w:shd w:val="clear" w:color="auto" w:fill="auto"/>
              </w:rPr>
              <w:t>规范性文件规定</w:t>
            </w:r>
            <w:r>
              <w:rPr>
                <w:rFonts w:hint="eastAsia" w:asciiTheme="minorEastAsia" w:hAnsiTheme="minorEastAsia" w:eastAsiaTheme="minorEastAsia" w:cstheme="minorEastAsia"/>
                <w:b/>
                <w:bCs/>
                <w:color w:val="auto"/>
                <w:szCs w:val="21"/>
                <w:u w:val="none"/>
                <w:shd w:val="clear" w:color="auto" w:fill="auto"/>
                <w:lang w:eastAsia="zh-CN"/>
              </w:rPr>
              <w:t>，被有关部门认定为严重失信行为的。</w:t>
            </w:r>
          </w:p>
          <w:p>
            <w:pPr>
              <w:numPr>
                <w:ilvl w:val="0"/>
                <w:numId w:val="0"/>
              </w:numPr>
              <w:spacing w:line="360" w:lineRule="exact"/>
              <w:ind w:leftChars="0" w:firstLine="422" w:firstLineChars="200"/>
              <w:jc w:val="both"/>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b/>
                <w:bCs/>
                <w:color w:val="auto"/>
                <w:szCs w:val="21"/>
                <w:u w:val="none"/>
                <w:shd w:val="clear" w:color="auto" w:fill="auto"/>
              </w:rPr>
              <w:t>失信行为认定须以具有法律效力的文书为依据。可认定失信行为的依据包括：生效的司法裁判文书和仲裁文书、行政处罚和行政裁决等行政行为决定文书，以及法律、法规或者党中央、国务院政策文件规定可作为失信行为认定依据的其他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00" w:lineRule="exact"/>
              <w:jc w:val="center"/>
              <w:rPr>
                <w:rFonts w:hint="eastAsia" w:ascii="黑体" w:hAnsi="黑体" w:eastAsia="黑体" w:cs="黑体"/>
                <w:color w:val="auto"/>
                <w:sz w:val="28"/>
                <w:szCs w:val="28"/>
                <w:lang w:val="en-US" w:eastAsia="zh-CN"/>
              </w:rPr>
            </w:pPr>
            <w:r>
              <w:rPr>
                <w:rFonts w:hint="eastAsia" w:ascii="黑体" w:hAnsi="黑体" w:eastAsia="黑体" w:cs="黑体"/>
                <w:b w:val="0"/>
                <w:bCs/>
                <w:color w:val="auto"/>
                <w:sz w:val="28"/>
                <w:szCs w:val="28"/>
              </w:rPr>
              <w:t>序</w:t>
            </w:r>
            <w:r>
              <w:rPr>
                <w:rFonts w:hint="eastAsia" w:ascii="黑体" w:hAnsi="黑体" w:eastAsia="黑体" w:cs="黑体"/>
                <w:b w:val="0"/>
                <w:bCs/>
                <w:color w:val="auto"/>
                <w:sz w:val="28"/>
                <w:szCs w:val="28"/>
                <w:lang w:val="en-US" w:eastAsia="zh-CN"/>
              </w:rPr>
              <w:t xml:space="preserve">  </w:t>
            </w:r>
          </w:p>
        </w:tc>
        <w:tc>
          <w:tcPr>
            <w:tcW w:w="6240" w:type="dxa"/>
            <w:vAlign w:val="center"/>
          </w:tcPr>
          <w:p>
            <w:pPr>
              <w:spacing w:line="300" w:lineRule="exact"/>
              <w:jc w:val="center"/>
              <w:rPr>
                <w:rFonts w:hint="eastAsia" w:ascii="Helvetica" w:hAnsi="Helvetica"/>
                <w:color w:val="auto"/>
                <w:sz w:val="28"/>
                <w:szCs w:val="28"/>
                <w:shd w:val="clear" w:color="auto" w:fill="FFFFFF"/>
              </w:rPr>
            </w:pPr>
            <w:r>
              <w:rPr>
                <w:rFonts w:hint="eastAsia" w:ascii="黑体" w:hAnsi="黑体" w:eastAsia="黑体" w:cs="黑体"/>
                <w:b w:val="0"/>
                <w:bCs/>
                <w:color w:val="auto"/>
                <w:sz w:val="28"/>
                <w:szCs w:val="28"/>
                <w:lang w:eastAsia="zh-CN"/>
              </w:rPr>
              <w:t>现行规定</w:t>
            </w:r>
          </w:p>
        </w:tc>
        <w:tc>
          <w:tcPr>
            <w:tcW w:w="7320" w:type="dxa"/>
            <w:vAlign w:val="center"/>
          </w:tcPr>
          <w:p>
            <w:pPr>
              <w:spacing w:line="300" w:lineRule="exact"/>
              <w:jc w:val="center"/>
              <w:rPr>
                <w:rFonts w:hint="eastAsia"/>
                <w:color w:val="auto"/>
                <w:sz w:val="28"/>
                <w:szCs w:val="28"/>
                <w:lang w:val="en-US" w:eastAsia="zh-CN"/>
              </w:rPr>
            </w:pPr>
            <w:r>
              <w:rPr>
                <w:rFonts w:hint="eastAsia" w:ascii="黑体" w:hAnsi="黑体" w:eastAsia="黑体" w:cs="黑体"/>
                <w:b w:val="0"/>
                <w:bCs/>
                <w:color w:val="auto"/>
                <w:sz w:val="28"/>
                <w:szCs w:val="28"/>
              </w:rPr>
              <w:t>修改后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第八条</w:t>
            </w:r>
          </w:p>
        </w:tc>
        <w:tc>
          <w:tcPr>
            <w:tcW w:w="6240" w:type="dxa"/>
            <w:vAlign w:val="center"/>
          </w:tcPr>
          <w:p>
            <w:pPr>
              <w:spacing w:line="360" w:lineRule="exact"/>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订立合同的，或者招标人、中标人订立背离合同实质性内容的协议的；</w:t>
            </w:r>
          </w:p>
          <w:p>
            <w:pPr>
              <w:numPr>
                <w:ilvl w:val="0"/>
                <w:numId w:val="1"/>
              </w:num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中标人不按照与招标人订立的合同履行义务，情节严重的；</w:t>
            </w:r>
          </w:p>
          <w:p>
            <w:pPr>
              <w:numPr>
                <w:ilvl w:val="0"/>
                <w:numId w:val="0"/>
              </w:num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十三）采购人、采购代理机构存在应当采用公开招标方式而擅自采用其他方式采购，擅自提高采购标准，以不合理的条件对供应商实行差别待遇或者歧视待遇，在招标采购过程中与投标人进行协商谈判，中标、成交通知书发出后不与中标、成交供应商签订采购合同，或者拒绝有关部门依法实施监督检查等情形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（十四）采购人、采购代理机构及其工作人员存在与供应商或者采购代理机构恶意串通，在采购过程中接受贿赂或者获取其他不正当利益，在有关部门依法实施的监督检查中提供虚假情况、资料等情形的；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（十五）采购人对应当实行集中采购的政府采购项目，不委托集中采购机构实行集中采购的；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（十六）采购人、采购代理机构违反法律规定隐匿、销毁应当保存的采购文件或者伪造、变造采购文件的；</w:t>
            </w:r>
          </w:p>
          <w:p>
            <w:p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（十七）供应商存在提供虚假材料谋取中标、成交，采取不正当手段诋毁、排挤其他供应商，与采购人、其他供应商或者采购代理机构恶意串通，向采购人、采购代理机构行贿或者提供其他不正</w:t>
            </w:r>
          </w:p>
        </w:tc>
        <w:tc>
          <w:tcPr>
            <w:tcW w:w="7320" w:type="dxa"/>
            <w:vAlign w:val="center"/>
          </w:tcPr>
          <w:p>
            <w:pPr>
              <w:pStyle w:val="2"/>
              <w:spacing w:line="360" w:lineRule="exact"/>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00" w:lineRule="exact"/>
              <w:jc w:val="center"/>
              <w:rPr>
                <w:rFonts w:hint="eastAsia" w:ascii="黑体" w:hAnsi="黑体" w:eastAsia="黑体" w:cs="黑体"/>
                <w:color w:val="auto"/>
                <w:sz w:val="28"/>
                <w:szCs w:val="28"/>
                <w:lang w:val="en-US" w:eastAsia="zh-CN"/>
              </w:rPr>
            </w:pPr>
            <w:r>
              <w:rPr>
                <w:rFonts w:hint="eastAsia" w:ascii="黑体" w:hAnsi="黑体" w:eastAsia="黑体" w:cs="黑体"/>
                <w:b w:val="0"/>
                <w:bCs/>
                <w:color w:val="auto"/>
                <w:sz w:val="28"/>
                <w:szCs w:val="28"/>
              </w:rPr>
              <w:t>序</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号</w:t>
            </w:r>
          </w:p>
        </w:tc>
        <w:tc>
          <w:tcPr>
            <w:tcW w:w="6240" w:type="dxa"/>
            <w:vAlign w:val="center"/>
          </w:tcPr>
          <w:p>
            <w:pPr>
              <w:spacing w:line="300" w:lineRule="exact"/>
              <w:jc w:val="center"/>
              <w:rPr>
                <w:rFonts w:hint="eastAsia" w:ascii="Helvetica" w:hAnsi="Helvetica"/>
                <w:color w:val="auto"/>
                <w:sz w:val="28"/>
                <w:szCs w:val="28"/>
                <w:shd w:val="clear" w:color="auto" w:fill="FFFFFF"/>
              </w:rPr>
            </w:pPr>
            <w:r>
              <w:rPr>
                <w:rFonts w:hint="eastAsia" w:ascii="黑体" w:hAnsi="黑体" w:eastAsia="黑体" w:cs="黑体"/>
                <w:b w:val="0"/>
                <w:bCs/>
                <w:color w:val="auto"/>
                <w:sz w:val="28"/>
                <w:szCs w:val="28"/>
                <w:lang w:eastAsia="zh-CN"/>
              </w:rPr>
              <w:t>现行规定</w:t>
            </w:r>
          </w:p>
        </w:tc>
        <w:tc>
          <w:tcPr>
            <w:tcW w:w="7320" w:type="dxa"/>
            <w:vAlign w:val="center"/>
          </w:tcPr>
          <w:p>
            <w:pPr>
              <w:spacing w:line="300" w:lineRule="exact"/>
              <w:jc w:val="center"/>
              <w:rPr>
                <w:rFonts w:hint="eastAsia"/>
                <w:color w:val="auto"/>
                <w:sz w:val="28"/>
                <w:szCs w:val="28"/>
                <w:lang w:val="en-US" w:eastAsia="zh-CN"/>
              </w:rPr>
            </w:pPr>
            <w:r>
              <w:rPr>
                <w:rFonts w:hint="eastAsia" w:ascii="黑体" w:hAnsi="黑体" w:eastAsia="黑体" w:cs="黑体"/>
                <w:b w:val="0"/>
                <w:bCs/>
                <w:color w:val="auto"/>
                <w:sz w:val="28"/>
                <w:szCs w:val="28"/>
              </w:rPr>
              <w:t>修改后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第八条</w:t>
            </w:r>
          </w:p>
        </w:tc>
        <w:tc>
          <w:tcPr>
            <w:tcW w:w="6240" w:type="dxa"/>
            <w:vAlign w:val="center"/>
          </w:tcPr>
          <w:p>
            <w:pPr>
              <w:spacing w:line="360" w:lineRule="exact"/>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当利益，在招标采购过程中与采购人进行协商谈判，或拒绝有关部门监督检查或者提供虚假情况等情形的；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（十八）疫苗生产企业向县级疾病预防控制机构以外的单位或者个人销售第二类疫苗的；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（十九）评标评审专家有下列行为的：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1.明知应当回避而不主动申请回避的；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2.已接受评标评审邀请但无正当理由缺席的；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3.委托他人代替评标评审的；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4.在评标评审过程中擅离职守、不服从评标评审现场管理，影响评标评审程序正常进行的；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5.不按照评标评审文件规定的标准和方法进行评标评审的；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6.在评标评审过程中，非因法律法规规定情形而随意废标的；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7.在评标评审过程中有明显不合理或不正当行为的；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8.拒绝在评标评审报告上签字，且没有书面提出意见及理由的；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9.记录、复制或者带走评标评审资料的；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10.超标准索要劳务报酬、差旅费或其他报酬的；</w:t>
            </w:r>
          </w:p>
          <w:p>
            <w:pPr>
              <w:spacing w:line="360" w:lineRule="exact"/>
              <w:ind w:firstLine="420" w:firstLineChars="200"/>
              <w:jc w:val="both"/>
              <w:rPr>
                <w:rFonts w:hint="eastAsia" w:asciiTheme="minorEastAsia" w:hAnsiTheme="minorEastAsia" w:eastAsiaTheme="minorEastAsia" w:cstheme="minorEastAsia"/>
                <w:strike/>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11.不协助、不配合公共资源交易综合管理部门、相关行政监督管理部门的监督、检查及调查工作的；</w:t>
            </w:r>
          </w:p>
          <w:p>
            <w:p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rPr>
            </w:pPr>
            <w:r>
              <w:rPr>
                <w:rFonts w:hint="eastAsia" w:asciiTheme="minorEastAsia" w:hAnsiTheme="minorEastAsia" w:eastAsiaTheme="minorEastAsia" w:cstheme="minorEastAsia"/>
                <w:strike/>
                <w:color w:val="auto"/>
                <w:szCs w:val="21"/>
                <w:shd w:val="clear" w:color="auto" w:fill="FFFFFF"/>
              </w:rPr>
              <w:t>（二十）被人民法院列为失信被执行人的；</w:t>
            </w:r>
          </w:p>
        </w:tc>
        <w:tc>
          <w:tcPr>
            <w:tcW w:w="7320" w:type="dxa"/>
            <w:vAlign w:val="center"/>
          </w:tcPr>
          <w:p>
            <w:pPr>
              <w:pStyle w:val="2"/>
              <w:spacing w:line="360" w:lineRule="exact"/>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00" w:lineRule="exact"/>
              <w:jc w:val="center"/>
              <w:rPr>
                <w:rFonts w:hint="eastAsia" w:ascii="黑体" w:hAnsi="黑体" w:eastAsia="黑体" w:cs="黑体"/>
                <w:color w:val="auto"/>
                <w:sz w:val="28"/>
                <w:szCs w:val="28"/>
                <w:lang w:val="en-US" w:eastAsia="zh-CN"/>
              </w:rPr>
            </w:pPr>
            <w:r>
              <w:rPr>
                <w:rFonts w:hint="eastAsia" w:ascii="黑体" w:hAnsi="黑体" w:eastAsia="黑体" w:cs="黑体"/>
                <w:b w:val="0"/>
                <w:bCs/>
                <w:color w:val="auto"/>
                <w:sz w:val="28"/>
                <w:szCs w:val="28"/>
              </w:rPr>
              <w:t>序</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号</w:t>
            </w:r>
          </w:p>
        </w:tc>
        <w:tc>
          <w:tcPr>
            <w:tcW w:w="6240" w:type="dxa"/>
            <w:vAlign w:val="center"/>
          </w:tcPr>
          <w:p>
            <w:pPr>
              <w:spacing w:line="300" w:lineRule="exact"/>
              <w:jc w:val="center"/>
              <w:rPr>
                <w:rFonts w:hint="eastAsia" w:ascii="Helvetica" w:hAnsi="Helvetica"/>
                <w:color w:val="auto"/>
                <w:sz w:val="28"/>
                <w:szCs w:val="28"/>
                <w:shd w:val="clear" w:color="auto" w:fill="FFFFFF"/>
              </w:rPr>
            </w:pPr>
            <w:r>
              <w:rPr>
                <w:rFonts w:hint="eastAsia" w:ascii="黑体" w:hAnsi="黑体" w:eastAsia="黑体" w:cs="黑体"/>
                <w:b w:val="0"/>
                <w:bCs/>
                <w:color w:val="auto"/>
                <w:sz w:val="28"/>
                <w:szCs w:val="28"/>
                <w:lang w:eastAsia="zh-CN"/>
              </w:rPr>
              <w:t>现行规定</w:t>
            </w:r>
          </w:p>
        </w:tc>
        <w:tc>
          <w:tcPr>
            <w:tcW w:w="7320" w:type="dxa"/>
            <w:vAlign w:val="center"/>
          </w:tcPr>
          <w:p>
            <w:pPr>
              <w:spacing w:line="300" w:lineRule="exact"/>
              <w:jc w:val="center"/>
              <w:rPr>
                <w:rFonts w:hint="eastAsia" w:ascii="Helvetica" w:hAnsi="Helvetica"/>
                <w:color w:val="auto"/>
                <w:sz w:val="28"/>
                <w:szCs w:val="28"/>
                <w:shd w:val="clear" w:color="auto" w:fill="FFFFFF"/>
                <w:lang w:val="en-US" w:eastAsia="zh-CN"/>
              </w:rPr>
            </w:pPr>
            <w:r>
              <w:rPr>
                <w:rFonts w:hint="eastAsia" w:ascii="黑体" w:hAnsi="黑体" w:eastAsia="黑体" w:cs="黑体"/>
                <w:b w:val="0"/>
                <w:bCs/>
                <w:color w:val="auto"/>
                <w:sz w:val="28"/>
                <w:szCs w:val="28"/>
              </w:rPr>
              <w:t>修改后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第八条</w:t>
            </w:r>
          </w:p>
        </w:tc>
        <w:tc>
          <w:tcPr>
            <w:tcW w:w="6240" w:type="dxa"/>
            <w:vAlign w:val="center"/>
          </w:tcPr>
          <w:p>
            <w:pPr>
              <w:spacing w:line="360" w:lineRule="exact"/>
              <w:ind w:firstLine="420" w:firstLineChars="200"/>
              <w:jc w:val="both"/>
              <w:rPr>
                <w:rFonts w:hint="eastAsia" w:asciiTheme="minorEastAsia" w:hAnsiTheme="minorEastAsia" w:eastAsiaTheme="minorEastAsia" w:cstheme="minorEastAsia"/>
                <w:strike/>
                <w:color w:val="auto"/>
                <w:sz w:val="21"/>
                <w:szCs w:val="21"/>
                <w:shd w:val="clear" w:color="auto" w:fill="FFFFFF"/>
              </w:rPr>
            </w:pPr>
            <w:r>
              <w:rPr>
                <w:rFonts w:hint="eastAsia" w:asciiTheme="minorEastAsia" w:hAnsiTheme="minorEastAsia" w:eastAsiaTheme="minorEastAsia" w:cstheme="minorEastAsia"/>
                <w:strike/>
                <w:color w:val="auto"/>
                <w:sz w:val="21"/>
                <w:szCs w:val="21"/>
                <w:shd w:val="clear" w:color="auto" w:fill="FFFFFF"/>
              </w:rPr>
              <w:t>（二十一）招标人、采购人、中介代理机构违规抽取评标评审专家，造成严重后果的；</w:t>
            </w:r>
          </w:p>
          <w:p>
            <w:pPr>
              <w:spacing w:line="360" w:lineRule="exact"/>
              <w:ind w:firstLine="420" w:firstLineChars="200"/>
              <w:jc w:val="both"/>
              <w:rPr>
                <w:rFonts w:hint="eastAsia" w:asciiTheme="minorEastAsia" w:hAnsiTheme="minorEastAsia" w:eastAsiaTheme="minorEastAsia" w:cstheme="minorEastAsia"/>
                <w:strike/>
                <w:color w:val="auto"/>
                <w:sz w:val="21"/>
                <w:szCs w:val="21"/>
                <w:shd w:val="clear" w:color="auto" w:fill="FFFFFF"/>
              </w:rPr>
            </w:pPr>
            <w:r>
              <w:rPr>
                <w:rFonts w:hint="eastAsia" w:asciiTheme="minorEastAsia" w:hAnsiTheme="minorEastAsia" w:eastAsiaTheme="minorEastAsia" w:cstheme="minorEastAsia"/>
                <w:strike/>
                <w:color w:val="auto"/>
                <w:sz w:val="21"/>
                <w:szCs w:val="21"/>
                <w:shd w:val="clear" w:color="auto" w:fill="FFFFFF"/>
              </w:rPr>
              <w:t>（二十二）政府采购供应商恶意质疑、投诉、举报等，年度超过3次的；</w:t>
            </w:r>
          </w:p>
          <w:p>
            <w:pPr>
              <w:numPr>
                <w:ilvl w:val="0"/>
                <w:numId w:val="0"/>
              </w:num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strike/>
                <w:color w:val="auto"/>
                <w:sz w:val="21"/>
                <w:szCs w:val="21"/>
                <w:shd w:val="clear" w:color="auto" w:fill="FFFFFF"/>
              </w:rPr>
              <w:t>（二十三）存在其他违反《中华人民共和国招标投标法》《中华人民共和国政府采购法》等相关法律法规行为的。</w:t>
            </w:r>
          </w:p>
        </w:tc>
        <w:tc>
          <w:tcPr>
            <w:tcW w:w="7320" w:type="dxa"/>
            <w:vAlign w:val="center"/>
          </w:tcPr>
          <w:p>
            <w:pPr>
              <w:numPr>
                <w:ilvl w:val="0"/>
                <w:numId w:val="0"/>
              </w:numPr>
              <w:spacing w:line="360" w:lineRule="exact"/>
              <w:ind w:left="0" w:leftChars="0" w:firstLine="0" w:firstLineChars="0"/>
              <w:jc w:val="both"/>
              <w:rPr>
                <w:rFonts w:hint="eastAsia" w:asciiTheme="minorEastAsia" w:hAnsiTheme="minorEastAsia" w:eastAsiaTheme="minorEastAsia" w:cstheme="minorEastAsia"/>
                <w:color w:val="auto"/>
                <w:sz w:val="21"/>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第九条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lang w:eastAsia="zh-CN"/>
              </w:rPr>
              <w:t>第九条</w:t>
            </w:r>
            <w:r>
              <w:rPr>
                <w:rFonts w:hint="eastAsia" w:asciiTheme="minorEastAsia" w:hAnsiTheme="minorEastAsia" w:eastAsiaTheme="minorEastAsia" w:cstheme="minorEastAsia"/>
                <w:color w:val="auto"/>
                <w:sz w:val="21"/>
                <w:szCs w:val="21"/>
                <w:shd w:val="clear" w:color="auto" w:fill="FFFFFF"/>
                <w:lang w:val="en-US" w:eastAsia="zh-CN"/>
              </w:rPr>
              <w:t xml:space="preserve"> </w:t>
            </w:r>
            <w:r>
              <w:rPr>
                <w:rFonts w:hint="eastAsia" w:asciiTheme="minorEastAsia" w:hAnsiTheme="minorEastAsia" w:eastAsiaTheme="minorEastAsia" w:cstheme="minorEastAsia"/>
                <w:color w:val="auto"/>
                <w:sz w:val="21"/>
                <w:szCs w:val="21"/>
                <w:shd w:val="clear" w:color="auto" w:fill="FFFFFF"/>
              </w:rPr>
              <w:t>奖励信息是指公共资源交易活动当事人获得的与公共资源交易活动相关，并由党中央、国务院或省委、省政府批准保留的评比达标表彰项目的获奖信息。</w:t>
            </w:r>
          </w:p>
        </w:tc>
        <w:tc>
          <w:tcPr>
            <w:tcW w:w="7320" w:type="dxa"/>
            <w:vAlign w:val="center"/>
          </w:tcPr>
          <w:p>
            <w:pPr>
              <w:numPr>
                <w:ilvl w:val="0"/>
                <w:numId w:val="0"/>
              </w:numPr>
              <w:spacing w:line="360" w:lineRule="exact"/>
              <w:ind w:left="0" w:leftChars="0" w:firstLine="420" w:firstLineChars="20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shd w:val="clear" w:color="auto" w:fill="FFFFFF"/>
                <w:lang w:val="en-US" w:eastAsia="zh-CN"/>
              </w:rPr>
              <w:t xml:space="preserve">第九条 </w:t>
            </w:r>
            <w:r>
              <w:rPr>
                <w:rFonts w:hint="eastAsia" w:asciiTheme="minorEastAsia" w:hAnsiTheme="minorEastAsia" w:eastAsiaTheme="minorEastAsia" w:cstheme="minorEastAsia"/>
                <w:b w:val="0"/>
                <w:bCs w:val="0"/>
                <w:color w:val="auto"/>
                <w:sz w:val="21"/>
                <w:szCs w:val="21"/>
                <w:u w:val="none"/>
                <w:shd w:val="clear" w:color="auto" w:fill="auto"/>
              </w:rPr>
              <w:t>奖励信息是指公共资源交易活动当事人获得的与公共资源交易活动相关，并由党中央、国务院或各省省委、省政府批准保留的评比达标表彰项目</w:t>
            </w:r>
            <w:r>
              <w:rPr>
                <w:rFonts w:hint="eastAsia" w:asciiTheme="minorEastAsia" w:hAnsiTheme="minorEastAsia" w:eastAsiaTheme="minorEastAsia" w:cstheme="minorEastAsia"/>
                <w:b/>
                <w:bCs/>
                <w:color w:val="auto"/>
                <w:sz w:val="21"/>
                <w:szCs w:val="21"/>
                <w:u w:val="none"/>
                <w:shd w:val="clear" w:color="auto" w:fill="auto"/>
              </w:rPr>
              <w:t>，以及由省级以上群众团体确定或省级以上行业主管部门组织开展的劳动竞赛、技能比武活动的获奖信息等。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第十条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lang w:eastAsia="zh-CN"/>
              </w:rPr>
              <w:t>第十条</w:t>
            </w:r>
            <w:r>
              <w:rPr>
                <w:rFonts w:hint="eastAsia" w:asciiTheme="minorEastAsia" w:hAnsiTheme="minorEastAsia" w:eastAsiaTheme="minorEastAsia" w:cstheme="minorEastAsia"/>
                <w:color w:val="auto"/>
                <w:sz w:val="21"/>
                <w:szCs w:val="21"/>
                <w:shd w:val="clear" w:color="auto" w:fill="FFFFFF"/>
                <w:lang w:val="en-US" w:eastAsia="zh-CN"/>
              </w:rPr>
              <w:t xml:space="preserve"> </w:t>
            </w:r>
            <w:r>
              <w:rPr>
                <w:rFonts w:hint="eastAsia" w:asciiTheme="minorEastAsia" w:hAnsiTheme="minorEastAsia" w:eastAsiaTheme="minorEastAsia" w:cstheme="minorEastAsia"/>
                <w:color w:val="auto"/>
                <w:sz w:val="21"/>
                <w:szCs w:val="21"/>
                <w:shd w:val="clear" w:color="auto" w:fill="FFFFFF"/>
              </w:rPr>
              <w:t>承诺信息是指自然人、法人和其他组织在参与公共资源交易活动中以规范格式按规定向社会公开承诺的信用信息。公共资源交易活动当事人在参与公共资源交易活动前，应当以规范格式按规定向社会作出公开承诺，并纳入当事人信用记录。承诺信息主要包括：</w:t>
            </w:r>
          </w:p>
          <w:p>
            <w:pPr>
              <w:numPr>
                <w:ilvl w:val="0"/>
                <w:numId w:val="0"/>
              </w:num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lang w:eastAsia="zh-CN"/>
              </w:rPr>
              <w:t>（一）</w:t>
            </w:r>
            <w:r>
              <w:rPr>
                <w:rFonts w:hint="eastAsia" w:asciiTheme="minorEastAsia" w:hAnsiTheme="minorEastAsia" w:eastAsiaTheme="minorEastAsia" w:cstheme="minorEastAsia"/>
                <w:color w:val="auto"/>
                <w:sz w:val="21"/>
                <w:szCs w:val="21"/>
                <w:shd w:val="clear" w:color="auto" w:fill="FFFFFF"/>
              </w:rPr>
              <w:t>所提交的材料真实、合法、有效；</w:t>
            </w:r>
          </w:p>
          <w:p>
            <w:pPr>
              <w:numPr>
                <w:ilvl w:val="0"/>
                <w:numId w:val="0"/>
              </w:numPr>
              <w:spacing w:line="360" w:lineRule="exact"/>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lang w:val="en-US" w:eastAsia="zh-CN"/>
              </w:rPr>
              <w:t xml:space="preserve">    （二）</w:t>
            </w:r>
            <w:r>
              <w:rPr>
                <w:rFonts w:hint="eastAsia" w:asciiTheme="minorEastAsia" w:hAnsiTheme="minorEastAsia" w:eastAsiaTheme="minorEastAsia" w:cstheme="minorEastAsia"/>
                <w:color w:val="auto"/>
                <w:sz w:val="21"/>
                <w:szCs w:val="21"/>
                <w:shd w:val="clear" w:color="auto" w:fill="FFFFFF"/>
              </w:rPr>
              <w:t>守法诚信、公平竞争；</w:t>
            </w:r>
          </w:p>
          <w:p>
            <w:pPr>
              <w:numPr>
                <w:ilvl w:val="0"/>
                <w:numId w:val="0"/>
              </w:num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（三）严格履行合同；</w:t>
            </w:r>
          </w:p>
          <w:p>
            <w:pPr>
              <w:numPr>
                <w:ilvl w:val="0"/>
                <w:numId w:val="0"/>
              </w:num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（四）未兑现承诺自愿接受的惩戒措施；</w:t>
            </w:r>
          </w:p>
          <w:p>
            <w:pPr>
              <w:numPr>
                <w:ilvl w:val="0"/>
                <w:numId w:val="0"/>
              </w:num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（五）</w:t>
            </w:r>
            <w:r>
              <w:rPr>
                <w:rFonts w:hint="eastAsia" w:asciiTheme="minorEastAsia" w:hAnsiTheme="minorEastAsia" w:eastAsiaTheme="minorEastAsia" w:cstheme="minorEastAsia"/>
                <w:color w:val="auto"/>
                <w:sz w:val="21"/>
                <w:szCs w:val="21"/>
                <w:u w:val="single"/>
                <w:shd w:val="clear" w:color="auto" w:fill="FFFFFF"/>
              </w:rPr>
              <w:t>法律法规规定的其他事项和交易主体认为需要承诺的其</w:t>
            </w:r>
          </w:p>
        </w:tc>
        <w:tc>
          <w:tcPr>
            <w:tcW w:w="7320" w:type="dxa"/>
            <w:vAlign w:val="center"/>
          </w:tcPr>
          <w:p>
            <w:pPr>
              <w:numPr>
                <w:ilvl w:val="-1"/>
                <w:numId w:val="0"/>
              </w:num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lang w:val="en-US" w:eastAsia="zh-CN"/>
              </w:rPr>
              <w:t xml:space="preserve">第十条 </w:t>
            </w:r>
            <w:r>
              <w:rPr>
                <w:rFonts w:hint="eastAsia" w:asciiTheme="minorEastAsia" w:hAnsiTheme="minorEastAsia" w:eastAsiaTheme="minorEastAsia" w:cstheme="minorEastAsia"/>
                <w:color w:val="auto"/>
                <w:sz w:val="21"/>
                <w:szCs w:val="21"/>
              </w:rPr>
              <w:t>承诺信息是指自然人、法人和其他组织在参与公共资源交易活动中以规范格式按规定向社会公开承诺的信用信息。公共资源交易活动当事人在参与公共资源交易活动前，应当以规范格式按规定向社会作出公开承诺，并纳入当事人信用记录。承诺信息主要</w:t>
            </w:r>
            <w:r>
              <w:rPr>
                <w:rFonts w:hint="eastAsia" w:asciiTheme="minorEastAsia" w:hAnsiTheme="minorEastAsia" w:eastAsiaTheme="minorEastAsia" w:cstheme="minorEastAsia"/>
                <w:color w:val="auto"/>
                <w:sz w:val="21"/>
                <w:szCs w:val="21"/>
                <w:shd w:val="clear" w:color="auto" w:fill="FFFFFF"/>
              </w:rPr>
              <w:t>包括：</w:t>
            </w:r>
          </w:p>
          <w:p>
            <w:pPr>
              <w:numPr>
                <w:ilvl w:val="0"/>
                <w:numId w:val="0"/>
              </w:numPr>
              <w:spacing w:line="360" w:lineRule="exact"/>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lang w:eastAsia="zh-CN"/>
              </w:rPr>
              <w:t>（一）</w:t>
            </w:r>
            <w:r>
              <w:rPr>
                <w:rFonts w:hint="eastAsia" w:asciiTheme="minorEastAsia" w:hAnsiTheme="minorEastAsia" w:eastAsiaTheme="minorEastAsia" w:cstheme="minorEastAsia"/>
                <w:color w:val="auto"/>
                <w:sz w:val="21"/>
                <w:szCs w:val="21"/>
                <w:shd w:val="clear" w:color="auto" w:fill="FFFFFF"/>
              </w:rPr>
              <w:t>所提交的材料真实、合法、有效；</w:t>
            </w:r>
          </w:p>
          <w:p>
            <w:pPr>
              <w:numPr>
                <w:ilvl w:val="0"/>
                <w:numId w:val="0"/>
              </w:numPr>
              <w:spacing w:line="360" w:lineRule="exact"/>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lang w:eastAsia="zh-CN"/>
              </w:rPr>
              <w:t>（二）</w:t>
            </w:r>
            <w:r>
              <w:rPr>
                <w:rFonts w:hint="eastAsia" w:asciiTheme="minorEastAsia" w:hAnsiTheme="minorEastAsia" w:eastAsiaTheme="minorEastAsia" w:cstheme="minorEastAsia"/>
                <w:color w:val="auto"/>
                <w:sz w:val="21"/>
                <w:szCs w:val="21"/>
                <w:shd w:val="clear" w:color="auto" w:fill="FFFFFF"/>
              </w:rPr>
              <w:t>守法诚信、公平竞争；</w:t>
            </w:r>
          </w:p>
          <w:p>
            <w:pPr>
              <w:numPr>
                <w:ilvl w:val="0"/>
                <w:numId w:val="0"/>
              </w:numPr>
              <w:spacing w:line="360" w:lineRule="exact"/>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（三）严格履行合同；</w:t>
            </w:r>
          </w:p>
          <w:p>
            <w:pPr>
              <w:numPr>
                <w:ilvl w:val="0"/>
                <w:numId w:val="0"/>
              </w:numPr>
              <w:spacing w:line="360" w:lineRule="exact"/>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（四）未兑现承诺自愿接受的惩戒措施；</w:t>
            </w:r>
          </w:p>
          <w:p>
            <w:pPr>
              <w:pStyle w:val="2"/>
              <w:spacing w:line="360" w:lineRule="exac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shd w:val="clear" w:color="auto" w:fill="FFFFFF"/>
              </w:rPr>
              <w:t>（五）</w:t>
            </w:r>
            <w:r>
              <w:rPr>
                <w:rFonts w:hint="eastAsia" w:asciiTheme="minorEastAsia" w:hAnsiTheme="minorEastAsia" w:eastAsiaTheme="minorEastAsia" w:cstheme="minorEastAsia"/>
                <w:b/>
                <w:bCs/>
                <w:color w:val="auto"/>
                <w:sz w:val="21"/>
                <w:szCs w:val="21"/>
                <w:u w:val="none"/>
                <w:shd w:val="clear" w:color="auto" w:fill="auto"/>
              </w:rPr>
              <w:t>法律法规规定</w:t>
            </w:r>
            <w:r>
              <w:rPr>
                <w:rFonts w:hint="eastAsia" w:asciiTheme="minorEastAsia" w:hAnsiTheme="minorEastAsia" w:eastAsiaTheme="minorEastAsia" w:cstheme="minorEastAsia"/>
                <w:color w:val="auto"/>
                <w:sz w:val="21"/>
                <w:szCs w:val="21"/>
                <w:u w:val="none"/>
                <w:shd w:val="clear" w:color="auto" w:fill="auto"/>
                <w:lang w:eastAsia="zh-CN"/>
              </w:rPr>
              <w:t>的</w:t>
            </w:r>
            <w:r>
              <w:rPr>
                <w:rFonts w:hint="eastAsia" w:asciiTheme="minorEastAsia" w:hAnsiTheme="minorEastAsia" w:eastAsiaTheme="minorEastAsia" w:cstheme="minorEastAsia"/>
                <w:color w:val="auto"/>
                <w:sz w:val="21"/>
                <w:szCs w:val="21"/>
                <w:shd w:val="clear" w:color="auto" w:fill="FFFFFF"/>
              </w:rPr>
              <w:t>其他事项和交易主体认为需要承诺的其他事项。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00" w:lineRule="exact"/>
              <w:jc w:val="center"/>
              <w:rPr>
                <w:rFonts w:hint="eastAsia" w:ascii="黑体" w:hAnsi="黑体" w:eastAsia="黑体" w:cs="黑体"/>
                <w:color w:val="auto"/>
                <w:sz w:val="28"/>
                <w:szCs w:val="28"/>
                <w:lang w:val="en-US" w:eastAsia="zh-CN"/>
              </w:rPr>
            </w:pPr>
            <w:r>
              <w:rPr>
                <w:rFonts w:hint="eastAsia" w:ascii="黑体" w:hAnsi="黑体" w:eastAsia="黑体" w:cs="黑体"/>
                <w:b w:val="0"/>
                <w:bCs/>
                <w:color w:val="auto"/>
                <w:sz w:val="28"/>
                <w:szCs w:val="28"/>
              </w:rPr>
              <w:t>序</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号</w:t>
            </w:r>
          </w:p>
        </w:tc>
        <w:tc>
          <w:tcPr>
            <w:tcW w:w="6240" w:type="dxa"/>
            <w:vAlign w:val="center"/>
          </w:tcPr>
          <w:p>
            <w:pPr>
              <w:spacing w:line="300" w:lineRule="exact"/>
              <w:jc w:val="center"/>
              <w:rPr>
                <w:rFonts w:hint="eastAsia" w:ascii="Helvetica" w:hAnsi="Helvetica"/>
                <w:color w:val="auto"/>
                <w:sz w:val="28"/>
                <w:szCs w:val="28"/>
                <w:shd w:val="clear" w:color="auto" w:fill="FFFFFF"/>
              </w:rPr>
            </w:pPr>
            <w:r>
              <w:rPr>
                <w:rFonts w:hint="eastAsia" w:ascii="黑体" w:hAnsi="黑体" w:eastAsia="黑体" w:cs="黑体"/>
                <w:b w:val="0"/>
                <w:bCs/>
                <w:color w:val="auto"/>
                <w:sz w:val="28"/>
                <w:szCs w:val="28"/>
                <w:lang w:eastAsia="zh-CN"/>
              </w:rPr>
              <w:t>现行规定</w:t>
            </w:r>
          </w:p>
        </w:tc>
        <w:tc>
          <w:tcPr>
            <w:tcW w:w="7320" w:type="dxa"/>
            <w:vAlign w:val="center"/>
          </w:tcPr>
          <w:p>
            <w:pPr>
              <w:spacing w:line="300" w:lineRule="exact"/>
              <w:jc w:val="center"/>
              <w:rPr>
                <w:rFonts w:hint="eastAsia" w:ascii="Helvetica" w:hAnsi="Helvetica"/>
                <w:color w:val="auto"/>
                <w:sz w:val="28"/>
                <w:szCs w:val="28"/>
                <w:shd w:val="clear" w:color="auto" w:fill="FFFFFF"/>
                <w:lang w:val="en-US" w:eastAsia="zh-CN"/>
              </w:rPr>
            </w:pPr>
            <w:r>
              <w:rPr>
                <w:rFonts w:hint="eastAsia" w:ascii="黑体" w:hAnsi="黑体" w:eastAsia="黑体" w:cs="黑体"/>
                <w:b w:val="0"/>
                <w:bCs/>
                <w:color w:val="auto"/>
                <w:sz w:val="28"/>
                <w:szCs w:val="28"/>
              </w:rPr>
              <w:t>修改后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第十条</w:t>
            </w:r>
          </w:p>
        </w:tc>
        <w:tc>
          <w:tcPr>
            <w:tcW w:w="6240" w:type="dxa"/>
            <w:vAlign w:val="center"/>
          </w:tcPr>
          <w:p>
            <w:pPr>
              <w:numPr>
                <w:ilvl w:val="0"/>
                <w:numId w:val="0"/>
              </w:numPr>
              <w:spacing w:line="360" w:lineRule="exact"/>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u w:val="single"/>
                <w:shd w:val="clear" w:color="auto" w:fill="FFFFFF"/>
              </w:rPr>
              <w:t>他事项。</w:t>
            </w:r>
          </w:p>
        </w:tc>
        <w:tc>
          <w:tcPr>
            <w:tcW w:w="7320" w:type="dxa"/>
            <w:vAlign w:val="center"/>
          </w:tcPr>
          <w:p>
            <w:pPr>
              <w:numPr>
                <w:ilvl w:val="0"/>
                <w:numId w:val="0"/>
              </w:numPr>
              <w:spacing w:line="360" w:lineRule="exact"/>
              <w:ind w:leftChars="0"/>
              <w:jc w:val="both"/>
              <w:rPr>
                <w:rFonts w:hint="eastAsia" w:asciiTheme="minorEastAsia" w:hAnsiTheme="minorEastAsia" w:eastAsiaTheme="minorEastAsia" w:cstheme="minorEastAsia"/>
                <w:color w:val="auto"/>
                <w:sz w:val="21"/>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25" w:hRule="atLeast"/>
        </w:trPr>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第十一条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第十一条　公共资源交易活动当事人应当在首次注册交易时，</w:t>
            </w:r>
            <w:r>
              <w:rPr>
                <w:rFonts w:hint="eastAsia" w:asciiTheme="minorEastAsia" w:hAnsiTheme="minorEastAsia" w:eastAsiaTheme="minorEastAsia" w:cstheme="minorEastAsia"/>
                <w:strike/>
                <w:color w:val="auto"/>
                <w:sz w:val="21"/>
                <w:szCs w:val="21"/>
                <w:shd w:val="clear" w:color="auto" w:fill="FFFFFF"/>
              </w:rPr>
              <w:t>应</w:t>
            </w:r>
            <w:r>
              <w:rPr>
                <w:rFonts w:hint="eastAsia" w:asciiTheme="minorEastAsia" w:hAnsiTheme="minorEastAsia" w:eastAsiaTheme="minorEastAsia" w:cstheme="minorEastAsia"/>
                <w:color w:val="auto"/>
                <w:sz w:val="21"/>
                <w:szCs w:val="21"/>
                <w:shd w:val="clear" w:color="auto" w:fill="FFFFFF"/>
              </w:rPr>
              <w:t>按要求</w:t>
            </w:r>
            <w:r>
              <w:rPr>
                <w:rFonts w:hint="eastAsia" w:asciiTheme="minorEastAsia" w:hAnsiTheme="minorEastAsia" w:eastAsiaTheme="minorEastAsia" w:cstheme="minorEastAsia"/>
                <w:color w:val="auto"/>
                <w:sz w:val="21"/>
                <w:szCs w:val="21"/>
                <w:u w:val="single"/>
                <w:shd w:val="clear" w:color="auto" w:fill="FFFFFF"/>
              </w:rPr>
              <w:t>填报相关信用信息</w:t>
            </w:r>
            <w:r>
              <w:rPr>
                <w:rFonts w:hint="eastAsia" w:asciiTheme="minorEastAsia" w:hAnsiTheme="minorEastAsia" w:eastAsiaTheme="minorEastAsia" w:cstheme="minorEastAsia"/>
                <w:color w:val="auto"/>
                <w:sz w:val="21"/>
                <w:szCs w:val="21"/>
                <w:shd w:val="clear" w:color="auto" w:fill="FFFFFF"/>
              </w:rPr>
              <w:t>，并对其真实性负责；</w:t>
            </w:r>
            <w:r>
              <w:rPr>
                <w:rFonts w:hint="eastAsia" w:asciiTheme="minorEastAsia" w:hAnsiTheme="minorEastAsia" w:eastAsiaTheme="minorEastAsia" w:cstheme="minorEastAsia"/>
                <w:color w:val="auto"/>
                <w:sz w:val="21"/>
                <w:szCs w:val="21"/>
                <w:u w:val="single"/>
                <w:shd w:val="clear" w:color="auto" w:fill="FFFFFF"/>
              </w:rPr>
              <w:t>已注册的,</w:t>
            </w:r>
            <w:r>
              <w:rPr>
                <w:rFonts w:hint="eastAsia" w:asciiTheme="minorEastAsia" w:hAnsiTheme="minorEastAsia" w:eastAsiaTheme="minorEastAsia" w:cstheme="minorEastAsia"/>
                <w:color w:val="auto"/>
                <w:sz w:val="21"/>
                <w:szCs w:val="21"/>
                <w:shd w:val="clear" w:color="auto" w:fill="FFFFFF"/>
              </w:rPr>
              <w:t>应及时补充填报。</w:t>
            </w:r>
            <w:r>
              <w:rPr>
                <w:rFonts w:hint="eastAsia" w:asciiTheme="minorEastAsia" w:hAnsiTheme="minorEastAsia" w:eastAsiaTheme="minorEastAsia" w:cstheme="minorEastAsia"/>
                <w:color w:val="auto"/>
                <w:sz w:val="21"/>
                <w:szCs w:val="21"/>
                <w:u w:val="single"/>
                <w:shd w:val="clear" w:color="auto" w:fill="FFFFFF"/>
              </w:rPr>
              <w:t>受理登记注册单位应当对填报信息进行核对，经核对无误后，及时共享至公共资源交易电子服务系统。</w:t>
            </w:r>
          </w:p>
        </w:tc>
        <w:tc>
          <w:tcPr>
            <w:tcW w:w="732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lang w:val="en-US" w:eastAsia="zh-CN"/>
              </w:rPr>
            </w:pPr>
            <w:r>
              <w:rPr>
                <w:rFonts w:hint="eastAsia" w:asciiTheme="minorEastAsia" w:hAnsiTheme="minorEastAsia" w:eastAsiaTheme="minorEastAsia" w:cstheme="minorEastAsia"/>
                <w:color w:val="auto"/>
                <w:sz w:val="21"/>
                <w:szCs w:val="21"/>
                <w:shd w:val="clear" w:color="auto" w:fill="FFFFFF"/>
                <w:lang w:val="en-US" w:eastAsia="zh-CN"/>
              </w:rPr>
              <w:t>第十一条　公共资源交易活动当事人应当在首次注册交易时，按要求在</w:t>
            </w:r>
            <w:r>
              <w:rPr>
                <w:rFonts w:hint="eastAsia" w:asciiTheme="minorEastAsia" w:hAnsiTheme="minorEastAsia" w:eastAsiaTheme="minorEastAsia" w:cstheme="minorEastAsia"/>
                <w:b/>
                <w:bCs/>
                <w:color w:val="auto"/>
                <w:sz w:val="21"/>
                <w:szCs w:val="21"/>
                <w:u w:val="none"/>
                <w:shd w:val="clear" w:color="auto" w:fill="auto"/>
                <w:lang w:val="en-US" w:eastAsia="zh-CN"/>
              </w:rPr>
              <w:t>注册地公共资源交易平台电子系统</w:t>
            </w:r>
            <w:r>
              <w:rPr>
                <w:rFonts w:hint="eastAsia" w:asciiTheme="minorEastAsia" w:hAnsiTheme="minorEastAsia" w:eastAsiaTheme="minorEastAsia" w:cstheme="minorEastAsia"/>
                <w:color w:val="auto"/>
                <w:sz w:val="21"/>
                <w:szCs w:val="21"/>
                <w:shd w:val="clear" w:color="auto" w:fill="FFFFFF"/>
                <w:lang w:val="en-US" w:eastAsia="zh-CN"/>
              </w:rPr>
              <w:t>填报相关信用信息，并对其真实性负责；已注册</w:t>
            </w:r>
            <w:r>
              <w:rPr>
                <w:rFonts w:hint="eastAsia" w:asciiTheme="minorEastAsia" w:hAnsiTheme="minorEastAsia" w:eastAsiaTheme="minorEastAsia" w:cstheme="minorEastAsia"/>
                <w:b/>
                <w:bCs/>
                <w:color w:val="auto"/>
                <w:sz w:val="21"/>
                <w:szCs w:val="21"/>
                <w:u w:val="none"/>
                <w:shd w:val="clear" w:color="auto" w:fill="auto"/>
                <w:lang w:val="en-US" w:eastAsia="zh-CN"/>
              </w:rPr>
              <w:t>未填报的</w:t>
            </w:r>
            <w:r>
              <w:rPr>
                <w:rFonts w:hint="eastAsia" w:asciiTheme="minorEastAsia" w:hAnsiTheme="minorEastAsia" w:eastAsiaTheme="minorEastAsia" w:cstheme="minorEastAsia"/>
                <w:color w:val="auto"/>
                <w:sz w:val="21"/>
                <w:szCs w:val="21"/>
                <w:shd w:val="clear" w:color="auto" w:fill="FFFFFF"/>
                <w:lang w:val="en-US" w:eastAsia="zh-CN"/>
              </w:rPr>
              <w:t>，应及时补充填报。</w:t>
            </w:r>
            <w:r>
              <w:rPr>
                <w:rFonts w:hint="eastAsia" w:asciiTheme="minorEastAsia" w:hAnsiTheme="minorEastAsia" w:eastAsiaTheme="minorEastAsia" w:cstheme="minorEastAsia"/>
                <w:b/>
                <w:bCs/>
                <w:color w:val="auto"/>
                <w:sz w:val="21"/>
                <w:szCs w:val="21"/>
                <w:u w:val="none"/>
                <w:shd w:val="clear" w:color="auto" w:fill="auto"/>
                <w:lang w:val="en-US" w:eastAsia="zh-CN"/>
              </w:rPr>
              <w:t>相关信息实时共享至山东省公共资源交易平台电子服务系统，</w:t>
            </w:r>
            <w:r>
              <w:rPr>
                <w:rFonts w:hint="eastAsia" w:asciiTheme="minorEastAsia" w:hAnsiTheme="minorEastAsia" w:eastAsiaTheme="minorEastAsia" w:cstheme="minorEastAsia"/>
                <w:color w:val="auto"/>
                <w:sz w:val="21"/>
                <w:szCs w:val="21"/>
                <w:shd w:val="clear" w:color="auto" w:fill="FFFFFF"/>
                <w:lang w:val="en-US" w:eastAsia="zh-CN"/>
              </w:rPr>
              <w:t>对于可共享的信用信息数据做到“</w:t>
            </w:r>
            <w:r>
              <w:rPr>
                <w:rFonts w:hint="eastAsia" w:asciiTheme="minorEastAsia" w:hAnsiTheme="minorEastAsia" w:eastAsiaTheme="minorEastAsia" w:cstheme="minorEastAsia"/>
                <w:b/>
                <w:bCs/>
                <w:color w:val="auto"/>
                <w:sz w:val="21"/>
                <w:szCs w:val="21"/>
                <w:u w:val="none"/>
                <w:shd w:val="clear" w:color="auto" w:fill="auto"/>
                <w:lang w:val="en-US" w:eastAsia="zh-CN"/>
              </w:rPr>
              <w:t>一处采集、充分共享</w:t>
            </w:r>
            <w:r>
              <w:rPr>
                <w:rFonts w:hint="eastAsia" w:asciiTheme="minorEastAsia" w:hAnsiTheme="minorEastAsia" w:eastAsiaTheme="minorEastAsia" w:cstheme="minorEastAsia"/>
                <w:color w:val="auto"/>
                <w:sz w:val="21"/>
                <w:szCs w:val="21"/>
                <w:shd w:val="clear" w:color="auto" w:fill="FFFFFF"/>
                <w:lang w:val="en-US" w:eastAsia="zh-CN"/>
              </w:rPr>
              <w:t>”。</w:t>
            </w:r>
          </w:p>
          <w:p>
            <w:pPr>
              <w:numPr>
                <w:ilvl w:val="0"/>
                <w:numId w:val="0"/>
              </w:numPr>
              <w:spacing w:line="360" w:lineRule="exact"/>
              <w:jc w:val="both"/>
              <w:rPr>
                <w:rFonts w:hint="eastAsia" w:asciiTheme="minorEastAsia" w:hAnsiTheme="minorEastAsia" w:eastAsiaTheme="minorEastAsia" w:cstheme="minorEastAsia"/>
                <w:color w:val="auto"/>
                <w:sz w:val="21"/>
                <w:szCs w:val="21"/>
                <w:shd w:val="clear" w:color="auto" w:fill="FFFFFF"/>
                <w:lang w:val="en-US" w:eastAsia="zh-CN"/>
              </w:rPr>
            </w:pPr>
          </w:p>
          <w:p>
            <w:pPr>
              <w:numPr>
                <w:ilvl w:val="0"/>
                <w:numId w:val="0"/>
              </w:numPr>
              <w:spacing w:line="360" w:lineRule="exact"/>
              <w:ind w:leftChars="0"/>
              <w:jc w:val="both"/>
              <w:rPr>
                <w:rFonts w:hint="eastAsia" w:asciiTheme="minorEastAsia" w:hAnsiTheme="minorEastAsia" w:eastAsiaTheme="minorEastAsia" w:cstheme="minorEastAsia"/>
                <w:color w:val="auto"/>
                <w:sz w:val="21"/>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5" w:hRule="atLeast"/>
        </w:trPr>
        <w:tc>
          <w:tcPr>
            <w:tcW w:w="1319" w:type="dxa"/>
            <w:vAlign w:val="center"/>
          </w:tcPr>
          <w:p>
            <w:pPr>
              <w:spacing w:line="360" w:lineRule="exact"/>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第十二条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shd w:val="clear" w:color="auto" w:fill="FFFFFF"/>
              </w:rPr>
              <w:t>第十二条 各级行政监督管理部门、司法机关以及法律法规授权的具有公共事务管理职能的机构，应当按照规定的职责分工，对当事人在公共资源交易活动中产生的信用信息进行记录，应当在信息记录完成的7个工作日内，向公共信用信息平台报送。公共信用信息平台应当将公共资源交易信用信息及时共享至</w:t>
            </w:r>
            <w:r>
              <w:rPr>
                <w:rFonts w:hint="eastAsia" w:asciiTheme="minorEastAsia" w:hAnsiTheme="minorEastAsia" w:eastAsiaTheme="minorEastAsia" w:cstheme="minorEastAsia"/>
                <w:color w:val="auto"/>
                <w:sz w:val="21"/>
                <w:szCs w:val="21"/>
                <w:u w:val="single"/>
                <w:shd w:val="clear" w:color="auto" w:fill="FFFFFF"/>
              </w:rPr>
              <w:t>公共资源交易电子服务系统。</w:t>
            </w:r>
          </w:p>
          <w:p>
            <w:pPr>
              <w:numPr>
                <w:ilvl w:val="0"/>
                <w:numId w:val="0"/>
              </w:num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 w:val="21"/>
                <w:szCs w:val="21"/>
                <w:u w:val="single"/>
                <w:shd w:val="clear" w:color="auto" w:fill="FFFFFF"/>
              </w:rPr>
              <w:t>公共资源交易平台运行服务机构应当主动监测公共资源交易活动当事人的失信行为线索，</w:t>
            </w:r>
            <w:r>
              <w:rPr>
                <w:rFonts w:hint="eastAsia" w:asciiTheme="minorEastAsia" w:hAnsiTheme="minorEastAsia" w:eastAsiaTheme="minorEastAsia" w:cstheme="minorEastAsia"/>
                <w:color w:val="auto"/>
                <w:sz w:val="21"/>
                <w:szCs w:val="21"/>
                <w:shd w:val="clear" w:color="auto" w:fill="FFFFFF"/>
              </w:rPr>
              <w:t>妥善保留证据材料，及时转送行政监督管理部门，行政监督管理部门应当按时限反馈处理结果。</w:t>
            </w:r>
          </w:p>
          <w:p>
            <w:pPr>
              <w:numPr>
                <w:ilvl w:val="0"/>
                <w:numId w:val="0"/>
              </w:numPr>
              <w:spacing w:line="360" w:lineRule="exact"/>
              <w:jc w:val="both"/>
              <w:rPr>
                <w:rFonts w:hint="eastAsia" w:asciiTheme="minorEastAsia" w:hAnsiTheme="minorEastAsia" w:eastAsiaTheme="minorEastAsia" w:cstheme="minorEastAsia"/>
                <w:color w:val="auto"/>
                <w:sz w:val="21"/>
                <w:szCs w:val="21"/>
                <w:shd w:val="clear" w:color="auto" w:fill="FFFFFF"/>
              </w:rPr>
            </w:pPr>
          </w:p>
          <w:p>
            <w:pPr>
              <w:numPr>
                <w:ilvl w:val="0"/>
                <w:numId w:val="0"/>
              </w:numPr>
              <w:spacing w:line="360" w:lineRule="exact"/>
              <w:jc w:val="both"/>
              <w:rPr>
                <w:rFonts w:hint="eastAsia" w:asciiTheme="minorEastAsia" w:hAnsiTheme="minorEastAsia" w:eastAsiaTheme="minorEastAsia" w:cstheme="minorEastAsia"/>
                <w:color w:val="auto"/>
                <w:sz w:val="21"/>
                <w:szCs w:val="21"/>
                <w:shd w:val="clear" w:color="auto" w:fill="FFFFFF"/>
                <w:lang w:eastAsia="zh-CN"/>
              </w:rPr>
            </w:pPr>
          </w:p>
        </w:tc>
        <w:tc>
          <w:tcPr>
            <w:tcW w:w="7320" w:type="dxa"/>
            <w:vAlign w:val="center"/>
          </w:tcPr>
          <w:p>
            <w:pPr>
              <w:numPr>
                <w:ilvl w:val="-1"/>
                <w:numId w:val="0"/>
              </w:num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lang w:val="en-US" w:eastAsia="zh-CN"/>
              </w:rPr>
            </w:pPr>
            <w:r>
              <w:rPr>
                <w:rFonts w:hint="eastAsia" w:asciiTheme="minorEastAsia" w:hAnsiTheme="minorEastAsia" w:eastAsiaTheme="minorEastAsia" w:cstheme="minorEastAsia"/>
                <w:color w:val="auto"/>
                <w:sz w:val="21"/>
                <w:szCs w:val="21"/>
                <w:shd w:val="clear" w:color="auto" w:fill="FFFFFF"/>
                <w:lang w:val="en-US" w:eastAsia="zh-CN"/>
              </w:rPr>
              <w:t>第十二条  各级行政监督管理部门、司法机关以及法律法规授权的具有公共事务管理职能的机构，应当按照规定的职责分工，对当事人在公共资源交易活动中产生的信用信息进行记录，应当在信息记录完成7个工作日内，向公共信用信息平台报送，并及时共享至</w:t>
            </w:r>
            <w:r>
              <w:rPr>
                <w:rFonts w:hint="eastAsia" w:asciiTheme="minorEastAsia" w:hAnsiTheme="minorEastAsia" w:eastAsiaTheme="minorEastAsia" w:cstheme="minorEastAsia"/>
                <w:b/>
                <w:bCs/>
                <w:color w:val="auto"/>
                <w:sz w:val="21"/>
                <w:szCs w:val="21"/>
                <w:u w:val="none"/>
                <w:shd w:val="clear" w:color="auto" w:fill="auto"/>
                <w:lang w:val="en-US" w:eastAsia="zh-CN"/>
              </w:rPr>
              <w:t>公共资源交易平台电子服务系统</w:t>
            </w:r>
            <w:r>
              <w:rPr>
                <w:rFonts w:hint="eastAsia" w:asciiTheme="minorEastAsia" w:hAnsiTheme="minorEastAsia" w:eastAsiaTheme="minorEastAsia" w:cstheme="minorEastAsia"/>
                <w:color w:val="auto"/>
                <w:sz w:val="21"/>
                <w:szCs w:val="21"/>
                <w:shd w:val="clear" w:color="auto" w:fill="FFFFFF"/>
                <w:lang w:val="en-US" w:eastAsia="zh-CN"/>
              </w:rPr>
              <w:t>。</w:t>
            </w:r>
          </w:p>
          <w:p>
            <w:pPr>
              <w:numPr>
                <w:ilvl w:val="0"/>
                <w:numId w:val="0"/>
              </w:numPr>
              <w:spacing w:line="360" w:lineRule="exact"/>
              <w:jc w:val="both"/>
              <w:rPr>
                <w:rFonts w:hint="eastAsia" w:asciiTheme="minorEastAsia" w:hAnsiTheme="minorEastAsia" w:eastAsiaTheme="minorEastAsia" w:cstheme="minorEastAsia"/>
                <w:color w:val="auto"/>
                <w:sz w:val="21"/>
                <w:szCs w:val="21"/>
                <w:shd w:val="clear" w:color="auto" w:fill="FFFFFF"/>
                <w:lang w:val="en-US" w:eastAsia="zh-CN"/>
              </w:rPr>
            </w:pPr>
            <w:r>
              <w:rPr>
                <w:rFonts w:hint="eastAsia" w:asciiTheme="minorEastAsia" w:hAnsiTheme="minorEastAsia" w:eastAsiaTheme="minorEastAsia" w:cstheme="minorEastAsia"/>
                <w:color w:val="auto"/>
                <w:sz w:val="21"/>
                <w:szCs w:val="21"/>
                <w:shd w:val="clear" w:color="auto" w:fill="FFFFFF"/>
                <w:lang w:val="en-US" w:eastAsia="zh-CN"/>
              </w:rPr>
              <w:t xml:space="preserve">    相关公共资源交易信用信息提供单位应对推送的信用信息进行审核,并对提供的信用信息的真实性、准确性、安全性负责。</w:t>
            </w:r>
          </w:p>
          <w:p>
            <w:pPr>
              <w:numPr>
                <w:ilvl w:val="0"/>
                <w:numId w:val="0"/>
              </w:numPr>
              <w:spacing w:line="360" w:lineRule="exact"/>
              <w:ind w:firstLine="420" w:firstLineChars="200"/>
              <w:jc w:val="both"/>
              <w:rPr>
                <w:rFonts w:hint="eastAsia" w:asciiTheme="minorEastAsia" w:hAnsiTheme="minorEastAsia" w:eastAsiaTheme="minorEastAsia" w:cstheme="minorEastAsia"/>
                <w:color w:val="auto"/>
                <w:sz w:val="21"/>
                <w:szCs w:val="21"/>
                <w:shd w:val="clear" w:color="auto" w:fill="FFFFFF"/>
                <w:lang w:val="en-US" w:eastAsia="zh-CN"/>
              </w:rPr>
            </w:pPr>
            <w:r>
              <w:rPr>
                <w:rFonts w:hint="eastAsia" w:asciiTheme="minorEastAsia" w:hAnsiTheme="minorEastAsia" w:eastAsiaTheme="minorEastAsia" w:cstheme="minorEastAsia"/>
                <w:color w:val="auto"/>
                <w:sz w:val="21"/>
                <w:szCs w:val="21"/>
                <w:shd w:val="clear" w:color="auto" w:fill="FFFFFF"/>
                <w:lang w:val="en-US" w:eastAsia="zh-CN"/>
              </w:rPr>
              <w:t>公共资源交易平台运行服务机构</w:t>
            </w:r>
            <w:r>
              <w:rPr>
                <w:rFonts w:hint="eastAsia" w:asciiTheme="minorEastAsia" w:hAnsiTheme="minorEastAsia" w:eastAsiaTheme="minorEastAsia" w:cstheme="minorEastAsia"/>
                <w:b/>
                <w:bCs/>
                <w:color w:val="auto"/>
                <w:sz w:val="21"/>
                <w:szCs w:val="21"/>
                <w:u w:val="none"/>
                <w:shd w:val="clear" w:color="auto" w:fill="auto"/>
                <w:lang w:val="en-US" w:eastAsia="zh-CN"/>
              </w:rPr>
              <w:t>应当通过见证或大数据分析系统等主动监测公共资源交易活动当事人的失信行为线索，</w:t>
            </w:r>
            <w:r>
              <w:rPr>
                <w:rFonts w:hint="eastAsia" w:asciiTheme="minorEastAsia" w:hAnsiTheme="minorEastAsia" w:eastAsiaTheme="minorEastAsia" w:cstheme="minorEastAsia"/>
                <w:color w:val="auto"/>
                <w:sz w:val="21"/>
                <w:szCs w:val="21"/>
                <w:shd w:val="clear" w:color="auto" w:fill="FFFFFF"/>
                <w:lang w:val="en-US" w:eastAsia="zh-CN"/>
              </w:rPr>
              <w:t>妥善保留证据材料，及时转送行政监督管理部门，行政监督管理部门应当按时限反馈处理结果。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00" w:lineRule="exact"/>
              <w:jc w:val="center"/>
              <w:rPr>
                <w:rFonts w:hint="eastAsia" w:ascii="黑体" w:hAnsi="黑体" w:eastAsia="黑体" w:cs="黑体"/>
                <w:color w:val="auto"/>
                <w:sz w:val="21"/>
                <w:szCs w:val="21"/>
                <w:lang w:val="en-US" w:eastAsia="zh-CN"/>
              </w:rPr>
            </w:pPr>
            <w:r>
              <w:rPr>
                <w:rFonts w:hint="eastAsia" w:ascii="黑体" w:hAnsi="黑体" w:eastAsia="黑体" w:cs="黑体"/>
                <w:b w:val="0"/>
                <w:bCs/>
                <w:color w:val="auto"/>
                <w:sz w:val="28"/>
                <w:szCs w:val="28"/>
              </w:rPr>
              <w:t>序</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号</w:t>
            </w:r>
          </w:p>
        </w:tc>
        <w:tc>
          <w:tcPr>
            <w:tcW w:w="6240" w:type="dxa"/>
            <w:vAlign w:val="center"/>
          </w:tcPr>
          <w:p>
            <w:pPr>
              <w:spacing w:line="300" w:lineRule="exact"/>
              <w:jc w:val="center"/>
              <w:rPr>
                <w:rFonts w:hint="eastAsia" w:ascii="Helvetica" w:hAnsi="Helvetica"/>
                <w:strike/>
                <w:color w:val="auto"/>
                <w:szCs w:val="21"/>
                <w:shd w:val="clear" w:color="auto" w:fill="FFFFFF"/>
              </w:rPr>
            </w:pPr>
            <w:r>
              <w:rPr>
                <w:rFonts w:hint="eastAsia" w:ascii="黑体" w:hAnsi="黑体" w:eastAsia="黑体" w:cs="黑体"/>
                <w:b w:val="0"/>
                <w:bCs/>
                <w:color w:val="auto"/>
                <w:sz w:val="28"/>
                <w:szCs w:val="28"/>
                <w:lang w:eastAsia="zh-CN"/>
              </w:rPr>
              <w:t>现行规定</w:t>
            </w:r>
          </w:p>
        </w:tc>
        <w:tc>
          <w:tcPr>
            <w:tcW w:w="7320" w:type="dxa"/>
            <w:vAlign w:val="center"/>
          </w:tcPr>
          <w:p>
            <w:pPr>
              <w:spacing w:line="300" w:lineRule="exact"/>
              <w:jc w:val="center"/>
              <w:rPr>
                <w:rFonts w:hint="default" w:ascii="黑体" w:hAnsi="黑体" w:eastAsia="黑体" w:cs="黑体"/>
                <w:b/>
                <w:bCs/>
                <w:strike w:val="0"/>
                <w:dstrike w:val="0"/>
                <w:color w:val="auto"/>
                <w:szCs w:val="21"/>
                <w:u w:val="none"/>
                <w:shd w:val="clear" w:color="auto" w:fill="auto"/>
                <w:lang w:eastAsia="zh-CN"/>
              </w:rPr>
            </w:pPr>
            <w:r>
              <w:rPr>
                <w:rFonts w:hint="eastAsia" w:ascii="黑体" w:hAnsi="黑体" w:eastAsia="黑体" w:cs="黑体"/>
                <w:b w:val="0"/>
                <w:bCs/>
                <w:color w:val="auto"/>
                <w:sz w:val="28"/>
                <w:szCs w:val="28"/>
              </w:rPr>
              <w:t>修改后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60" w:lineRule="exact"/>
              <w:jc w:val="center"/>
              <w:rPr>
                <w:rFonts w:hint="eastAsia" w:ascii="Helvetica" w:hAnsi="Helvetica" w:eastAsiaTheme="minorEastAsia"/>
                <w:color w:val="auto"/>
                <w:sz w:val="21"/>
                <w:szCs w:val="21"/>
                <w:shd w:val="clear" w:color="auto" w:fill="FFFFFF"/>
                <w:lang w:val="en-US" w:eastAsia="zh-CN"/>
              </w:rPr>
            </w:pPr>
            <w:r>
              <w:rPr>
                <w:rFonts w:hint="eastAsia" w:ascii="黑体" w:hAnsi="黑体" w:eastAsia="黑体" w:cs="黑体"/>
                <w:color w:val="auto"/>
                <w:sz w:val="21"/>
                <w:szCs w:val="21"/>
                <w:lang w:val="en-US" w:eastAsia="zh-CN"/>
              </w:rPr>
              <w:t>第十三条</w:t>
            </w:r>
          </w:p>
        </w:tc>
        <w:tc>
          <w:tcPr>
            <w:tcW w:w="6240" w:type="dxa"/>
            <w:vAlign w:val="center"/>
          </w:tcPr>
          <w:p>
            <w:pPr>
              <w:numPr>
                <w:ilvl w:val="0"/>
                <w:numId w:val="0"/>
              </w:numPr>
              <w:spacing w:line="360" w:lineRule="exact"/>
              <w:ind w:firstLine="420" w:firstLineChars="200"/>
              <w:jc w:val="both"/>
              <w:rPr>
                <w:rFonts w:hint="eastAsia" w:ascii="Helvetica" w:hAnsi="Helvetica"/>
                <w:color w:val="auto"/>
                <w:szCs w:val="21"/>
                <w:shd w:val="clear" w:color="auto" w:fill="FFFFFF"/>
              </w:rPr>
            </w:pPr>
            <w:r>
              <w:rPr>
                <w:rFonts w:hint="eastAsia" w:ascii="Helvetica" w:hAnsi="Helvetica"/>
                <w:strike/>
                <w:color w:val="auto"/>
                <w:szCs w:val="21"/>
                <w:shd w:val="clear" w:color="auto" w:fill="FFFFFF"/>
              </w:rPr>
              <w:t>第十三条　各级行政监督管理部门、司法机关以及法律法规授权的具有公共事务管理职能的机构，应建立公共资源交易信用信息审查机制，对推送的信用信息进行审核,并对提供的信用信息的真实性、准确性、安全性负责。</w:t>
            </w:r>
          </w:p>
        </w:tc>
        <w:tc>
          <w:tcPr>
            <w:tcW w:w="7320" w:type="dxa"/>
            <w:vAlign w:val="center"/>
          </w:tcPr>
          <w:p>
            <w:pPr>
              <w:numPr>
                <w:ilvl w:val="0"/>
                <w:numId w:val="0"/>
              </w:numPr>
              <w:spacing w:line="360" w:lineRule="exact"/>
              <w:ind w:leftChars="0"/>
              <w:jc w:val="both"/>
              <w:rPr>
                <w:rFonts w:hint="default" w:ascii="Helvetica" w:hAnsi="Helvetica" w:eastAsiaTheme="minorEastAsia"/>
                <w:color w:val="auto"/>
                <w:szCs w:val="21"/>
                <w:shd w:val="clear" w:color="auto" w:fill="FFFFFF"/>
                <w:lang w:val="en-US" w:eastAsia="zh-CN"/>
              </w:rPr>
            </w:pPr>
            <w:r>
              <w:rPr>
                <w:rFonts w:hint="eastAsia" w:ascii="Helvetica" w:hAnsi="Helvetica"/>
                <w:color w:val="auto"/>
                <w:szCs w:val="21"/>
                <w:shd w:val="clear" w:color="auto" w:fill="FFFFFF"/>
                <w:lang w:val="en-US" w:eastAsia="zh-CN"/>
              </w:rPr>
              <w:t>相关内容整合至第十二条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60" w:lineRule="exact"/>
              <w:jc w:val="center"/>
              <w:rPr>
                <w:rFonts w:hint="eastAsia" w:ascii="Helvetica" w:hAnsi="Helvetica" w:eastAsiaTheme="minorEastAsia"/>
                <w:color w:val="auto"/>
                <w:sz w:val="21"/>
                <w:szCs w:val="21"/>
                <w:shd w:val="clear" w:color="auto" w:fill="FFFFFF"/>
                <w:lang w:val="en-US" w:eastAsia="zh-CN"/>
              </w:rPr>
            </w:pPr>
            <w:r>
              <w:rPr>
                <w:rFonts w:hint="eastAsia" w:ascii="黑体" w:hAnsi="黑体" w:eastAsia="黑体" w:cs="黑体"/>
                <w:color w:val="auto"/>
                <w:sz w:val="21"/>
                <w:szCs w:val="21"/>
                <w:lang w:val="en-US" w:eastAsia="zh-CN"/>
              </w:rPr>
              <w:t>第十四条</w:t>
            </w:r>
          </w:p>
        </w:tc>
        <w:tc>
          <w:tcPr>
            <w:tcW w:w="6240" w:type="dxa"/>
            <w:vAlign w:val="center"/>
          </w:tcPr>
          <w:p>
            <w:pPr>
              <w:numPr>
                <w:ilvl w:val="0"/>
                <w:numId w:val="0"/>
              </w:numPr>
              <w:spacing w:line="360" w:lineRule="exact"/>
              <w:ind w:firstLine="420" w:firstLineChars="200"/>
              <w:jc w:val="both"/>
              <w:rPr>
                <w:rFonts w:hint="eastAsia" w:ascii="Helvetica" w:hAnsi="Helvetica"/>
                <w:color w:val="auto"/>
                <w:szCs w:val="21"/>
                <w:shd w:val="clear" w:color="auto" w:fill="FFFFFF"/>
              </w:rPr>
            </w:pPr>
            <w:r>
              <w:rPr>
                <w:rFonts w:hint="eastAsia" w:ascii="Helvetica" w:hAnsi="Helvetica"/>
                <w:strike/>
                <w:dstrike w:val="0"/>
                <w:color w:val="auto"/>
                <w:szCs w:val="21"/>
                <w:u w:val="none"/>
                <w:shd w:val="clear" w:color="auto" w:fill="FFFFFF"/>
                <w:lang w:val="en-US" w:eastAsia="zh-CN"/>
              </w:rPr>
              <w:t>第十四条 公共资源交易平台运行服务机构应当依托公共资源交易电子服务系统，及时发布各类信用信息，及时更新公共资源交易活动当事人信用信息库。</w:t>
            </w:r>
          </w:p>
        </w:tc>
        <w:tc>
          <w:tcPr>
            <w:tcW w:w="7320" w:type="dxa"/>
            <w:vAlign w:val="center"/>
          </w:tcPr>
          <w:p>
            <w:pPr>
              <w:numPr>
                <w:ilvl w:val="0"/>
                <w:numId w:val="0"/>
              </w:numPr>
              <w:spacing w:line="360" w:lineRule="exact"/>
              <w:jc w:val="both"/>
              <w:rPr>
                <w:rFonts w:hint="eastAsia" w:ascii="Helvetica" w:hAnsi="Helvetica"/>
                <w:color w:val="auto"/>
                <w:szCs w:val="21"/>
                <w:shd w:val="clear" w:color="auto" w:fill="FFFFFF"/>
                <w:lang w:val="en-US" w:eastAsia="zh-CN"/>
              </w:rPr>
            </w:pPr>
            <w:r>
              <w:rPr>
                <w:rFonts w:hint="eastAsia" w:ascii="Helvetica" w:hAnsi="Helvetica"/>
                <w:color w:val="auto"/>
                <w:szCs w:val="21"/>
                <w:shd w:val="clear" w:color="auto" w:fill="FFFFFF"/>
                <w:lang w:val="en-US" w:eastAsia="zh-CN"/>
              </w:rPr>
              <w:t>相关内容融合至第十一条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4879" w:type="dxa"/>
            <w:gridSpan w:val="3"/>
            <w:vAlign w:val="center"/>
          </w:tcPr>
          <w:p>
            <w:pPr>
              <w:numPr>
                <w:ilvl w:val="0"/>
                <w:numId w:val="0"/>
              </w:numPr>
              <w:spacing w:line="360" w:lineRule="exact"/>
              <w:jc w:val="center"/>
              <w:rPr>
                <w:rFonts w:hint="default" w:ascii="黑体" w:hAnsi="黑体" w:eastAsia="黑体" w:cs="黑体"/>
                <w:b/>
                <w:bCs/>
                <w:strike w:val="0"/>
                <w:dstrike w:val="0"/>
                <w:color w:val="auto"/>
                <w:szCs w:val="21"/>
                <w:u w:val="none"/>
                <w:shd w:val="clear" w:color="auto" w:fill="auto"/>
                <w:lang w:val="en-US" w:eastAsia="zh-CN"/>
              </w:rPr>
            </w:pPr>
            <w:r>
              <w:rPr>
                <w:rFonts w:hint="eastAsia" w:ascii="黑体" w:hAnsi="黑体" w:eastAsia="黑体" w:cs="黑体"/>
                <w:color w:val="auto"/>
                <w:sz w:val="21"/>
                <w:szCs w:val="21"/>
                <w:lang w:val="en-US" w:eastAsia="zh-CN"/>
              </w:rPr>
              <w:t>第三章  信用信息公开和共享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default" w:ascii="Helvetica" w:hAnsi="Helvetica"/>
                <w:color w:val="auto"/>
                <w:szCs w:val="21"/>
                <w:shd w:val="clear" w:color="auto" w:fill="FFFFFF"/>
                <w:lang w:val="en-US" w:eastAsia="zh-CN"/>
              </w:rPr>
            </w:pPr>
            <w:r>
              <w:rPr>
                <w:rFonts w:hint="eastAsia" w:ascii="黑体" w:hAnsi="黑体" w:eastAsia="黑体" w:cs="黑体"/>
                <w:color w:val="auto"/>
                <w:szCs w:val="21"/>
                <w:shd w:val="clear"/>
                <w:lang w:val="en-US" w:eastAsia="zh-CN"/>
              </w:rPr>
              <w:t>第十五条</w:t>
            </w:r>
          </w:p>
        </w:tc>
        <w:tc>
          <w:tcPr>
            <w:tcW w:w="6240" w:type="dxa"/>
            <w:vAlign w:val="center"/>
          </w:tcPr>
          <w:p>
            <w:pPr>
              <w:numPr>
                <w:ilvl w:val="0"/>
                <w:numId w:val="0"/>
              </w:numPr>
              <w:spacing w:line="360" w:lineRule="exact"/>
              <w:ind w:firstLine="420" w:firstLineChars="200"/>
              <w:jc w:val="both"/>
              <w:rPr>
                <w:rFonts w:hint="eastAsia" w:ascii="Helvetica" w:hAnsi="Helvetica"/>
                <w:color w:val="auto"/>
                <w:szCs w:val="21"/>
                <w:shd w:val="clear" w:color="auto" w:fill="FFFFFF"/>
                <w:lang w:val="en-US" w:eastAsia="zh-CN"/>
              </w:rPr>
            </w:pPr>
            <w:r>
              <w:rPr>
                <w:rFonts w:hint="eastAsia" w:ascii="Helvetica" w:hAnsi="Helvetica"/>
                <w:color w:val="auto"/>
                <w:szCs w:val="21"/>
                <w:shd w:val="clear" w:color="auto" w:fill="FFFFFF"/>
                <w:lang w:val="en-US" w:eastAsia="zh-CN"/>
              </w:rPr>
              <w:t>第十五条 公共资源交易活动当事人的</w:t>
            </w:r>
            <w:r>
              <w:rPr>
                <w:rFonts w:hint="eastAsia" w:ascii="Helvetica" w:hAnsi="Helvetica"/>
                <w:color w:val="auto"/>
                <w:szCs w:val="21"/>
                <w:u w:val="none"/>
                <w:shd w:val="clear" w:color="auto" w:fill="FFFFFF"/>
                <w:lang w:val="en-US" w:eastAsia="zh-CN"/>
              </w:rPr>
              <w:t>基本信息</w:t>
            </w:r>
            <w:r>
              <w:rPr>
                <w:rFonts w:hint="eastAsia" w:ascii="Helvetica" w:hAnsi="Helvetica"/>
                <w:color w:val="auto"/>
                <w:szCs w:val="21"/>
                <w:shd w:val="clear" w:color="auto" w:fill="FFFFFF"/>
                <w:lang w:val="en-US" w:eastAsia="zh-CN"/>
              </w:rPr>
              <w:t>，奖励信息名称及奖励确认文件，失信信息名称、处理决定书、处理时间，承诺信息和惩戒执行情况等，各级行政监督管理部门、司法机关以及法律法规授权的具有公共事务管理职能的机构应当按规定主动向社会公开。</w:t>
            </w:r>
          </w:p>
        </w:tc>
        <w:tc>
          <w:tcPr>
            <w:tcW w:w="7320" w:type="dxa"/>
            <w:vAlign w:val="center"/>
          </w:tcPr>
          <w:p>
            <w:pPr>
              <w:numPr>
                <w:ilvl w:val="0"/>
                <w:numId w:val="0"/>
              </w:numPr>
              <w:spacing w:line="360" w:lineRule="exact"/>
              <w:ind w:firstLine="420" w:firstLineChars="200"/>
              <w:jc w:val="both"/>
              <w:rPr>
                <w:rFonts w:hint="eastAsia" w:ascii="Helvetica" w:hAnsi="Helvetica"/>
                <w:color w:val="auto"/>
                <w:szCs w:val="21"/>
                <w:shd w:val="clear" w:color="auto" w:fill="FFFFFF"/>
                <w:lang w:val="en-US" w:eastAsia="zh-CN"/>
              </w:rPr>
            </w:pPr>
            <w:r>
              <w:rPr>
                <w:rFonts w:hint="eastAsia" w:ascii="Helvetica" w:hAnsi="Helvetica"/>
                <w:color w:val="auto"/>
                <w:szCs w:val="21"/>
                <w:shd w:val="clear" w:color="auto" w:fill="FFFFFF"/>
                <w:lang w:val="en-US" w:eastAsia="zh-CN"/>
              </w:rPr>
              <w:t>第十三条　公共资源交易活动当事人的</w:t>
            </w:r>
            <w:r>
              <w:rPr>
                <w:rFonts w:hint="default" w:ascii="黑体" w:hAnsi="黑体" w:eastAsia="黑体" w:cs="黑体"/>
                <w:b/>
                <w:bCs/>
                <w:color w:val="auto"/>
                <w:szCs w:val="21"/>
                <w:u w:val="none"/>
                <w:shd w:val="clear" w:color="auto" w:fill="auto"/>
                <w:lang w:val="en-US" w:eastAsia="zh-CN"/>
              </w:rPr>
              <w:t>登记注册基本信息</w:t>
            </w:r>
            <w:r>
              <w:rPr>
                <w:rFonts w:hint="eastAsia" w:ascii="黑体" w:hAnsi="黑体" w:eastAsia="黑体" w:cs="黑体"/>
                <w:b/>
                <w:bCs/>
                <w:color w:val="auto"/>
                <w:szCs w:val="21"/>
                <w:u w:val="none"/>
                <w:shd w:val="clear" w:color="auto" w:fill="auto"/>
                <w:lang w:val="en-US" w:eastAsia="zh-CN"/>
              </w:rPr>
              <w:t>、</w:t>
            </w:r>
            <w:r>
              <w:rPr>
                <w:rFonts w:hint="default" w:ascii="黑体" w:hAnsi="黑体" w:eastAsia="黑体" w:cs="黑体"/>
                <w:b/>
                <w:bCs/>
                <w:color w:val="auto"/>
                <w:szCs w:val="21"/>
                <w:u w:val="none"/>
                <w:shd w:val="clear" w:color="auto" w:fill="auto"/>
                <w:lang w:val="en-US" w:eastAsia="zh-CN"/>
              </w:rPr>
              <w:t>司法裁判及执行信息、</w:t>
            </w:r>
            <w:r>
              <w:rPr>
                <w:rFonts w:hint="eastAsia" w:ascii="黑体" w:hAnsi="黑体" w:eastAsia="黑体" w:cs="黑体"/>
                <w:b/>
                <w:bCs/>
                <w:color w:val="auto"/>
                <w:szCs w:val="21"/>
                <w:u w:val="none"/>
                <w:shd w:val="clear" w:color="auto" w:fill="auto"/>
                <w:lang w:val="en-US" w:eastAsia="zh-CN"/>
              </w:rPr>
              <w:t>行政管理信息</w:t>
            </w:r>
            <w:r>
              <w:rPr>
                <w:rFonts w:hint="default" w:ascii="黑体" w:hAnsi="黑体" w:eastAsia="黑体" w:cs="黑体"/>
                <w:b/>
                <w:bCs/>
                <w:color w:val="auto"/>
                <w:szCs w:val="21"/>
                <w:u w:val="none"/>
                <w:shd w:val="clear" w:color="auto" w:fill="auto"/>
                <w:lang w:val="en-US" w:eastAsia="zh-CN"/>
              </w:rPr>
              <w:t>、有关合同履行信息、诚实守信相关荣誉信息等，</w:t>
            </w:r>
            <w:r>
              <w:rPr>
                <w:rFonts w:hint="eastAsia" w:ascii="Helvetica" w:hAnsi="Helvetica"/>
                <w:color w:val="auto"/>
                <w:szCs w:val="21"/>
                <w:shd w:val="clear" w:color="auto" w:fill="FFFFFF"/>
                <w:lang w:val="en-US" w:eastAsia="zh-CN"/>
              </w:rPr>
              <w:t>各级行政监督管理部门、司法机关以及法律法规授权的具有公共事务管理职能的机构应当按规定主动向社会公开。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default" w:ascii="Helvetica" w:hAnsi="Helvetica"/>
                <w:color w:val="auto"/>
                <w:szCs w:val="21"/>
                <w:shd w:val="clear" w:color="auto" w:fill="FFFFFF"/>
                <w:lang w:val="en-US" w:eastAsia="zh-CN"/>
              </w:rPr>
            </w:pPr>
            <w:r>
              <w:rPr>
                <w:rFonts w:hint="eastAsia" w:ascii="黑体" w:hAnsi="黑体" w:eastAsia="黑体" w:cs="黑体"/>
                <w:color w:val="auto"/>
                <w:szCs w:val="21"/>
                <w:shd w:val="clear"/>
                <w:lang w:val="en-US" w:eastAsia="zh-CN"/>
              </w:rPr>
              <w:t>第十六条</w:t>
            </w:r>
          </w:p>
        </w:tc>
        <w:tc>
          <w:tcPr>
            <w:tcW w:w="6240" w:type="dxa"/>
            <w:vAlign w:val="center"/>
          </w:tcPr>
          <w:p>
            <w:pPr>
              <w:numPr>
                <w:ilvl w:val="0"/>
                <w:numId w:val="0"/>
              </w:numPr>
              <w:spacing w:line="360" w:lineRule="exact"/>
              <w:ind w:firstLine="420" w:firstLineChars="200"/>
              <w:jc w:val="both"/>
              <w:rPr>
                <w:rFonts w:hint="eastAsia" w:ascii="Helvetica" w:hAnsi="Helvetica"/>
                <w:color w:val="auto"/>
                <w:szCs w:val="21"/>
                <w:shd w:val="clear" w:color="auto" w:fill="FFFFFF"/>
                <w:lang w:val="en-US" w:eastAsia="zh-CN"/>
              </w:rPr>
            </w:pPr>
            <w:r>
              <w:rPr>
                <w:rFonts w:hint="eastAsia" w:ascii="Helvetica" w:hAnsi="Helvetica"/>
                <w:color w:val="auto"/>
                <w:szCs w:val="21"/>
                <w:shd w:val="clear" w:color="auto" w:fill="FFFFFF"/>
                <w:lang w:val="en-US" w:eastAsia="zh-CN"/>
              </w:rPr>
              <w:t>第十六条 公共资源交易信用信息应当按照法律法规规定的期限进行公开。公开期限届满的应当终止公开，转为档案保存。</w:t>
            </w:r>
          </w:p>
        </w:tc>
        <w:tc>
          <w:tcPr>
            <w:tcW w:w="7320" w:type="dxa"/>
            <w:vAlign w:val="center"/>
          </w:tcPr>
          <w:p>
            <w:pPr>
              <w:widowControl/>
              <w:numPr>
                <w:ilvl w:val="0"/>
                <w:numId w:val="0"/>
              </w:numPr>
              <w:spacing w:line="360" w:lineRule="exact"/>
              <w:ind w:firstLine="420" w:firstLineChars="200"/>
              <w:jc w:val="left"/>
              <w:rPr>
                <w:rFonts w:hint="eastAsia" w:ascii="Helvetica" w:hAnsi="Helvetica"/>
                <w:color w:val="auto"/>
                <w:szCs w:val="21"/>
                <w:shd w:val="clear" w:color="auto" w:fill="FFFFFF"/>
                <w:lang w:val="en-US" w:eastAsia="zh-CN"/>
              </w:rPr>
            </w:pPr>
            <w:r>
              <w:rPr>
                <w:rFonts w:hint="eastAsia" w:ascii="Helvetica" w:hAnsi="Helvetica" w:eastAsiaTheme="minorEastAsia" w:cstheme="minorBidi"/>
                <w:color w:val="auto"/>
                <w:sz w:val="21"/>
                <w:szCs w:val="21"/>
                <w:shd w:val="clear" w:color="auto" w:fill="FFFFFF"/>
              </w:rPr>
              <w:t>第十</w:t>
            </w:r>
            <w:r>
              <w:rPr>
                <w:rFonts w:hint="eastAsia" w:ascii="Helvetica" w:hAnsi="Helvetica" w:eastAsiaTheme="minorEastAsia" w:cstheme="minorBidi"/>
                <w:color w:val="auto"/>
                <w:sz w:val="21"/>
                <w:szCs w:val="21"/>
                <w:shd w:val="clear" w:color="auto" w:fill="FFFFFF"/>
                <w:lang w:eastAsia="zh-CN"/>
              </w:rPr>
              <w:t>四</w:t>
            </w:r>
            <w:r>
              <w:rPr>
                <w:rFonts w:hint="eastAsia" w:ascii="Helvetica" w:hAnsi="Helvetica" w:eastAsiaTheme="minorEastAsia" w:cstheme="minorBidi"/>
                <w:color w:val="auto"/>
                <w:sz w:val="21"/>
                <w:szCs w:val="21"/>
                <w:shd w:val="clear" w:color="auto" w:fill="FFFFFF"/>
              </w:rPr>
              <w:t>条  公共资源交易信用信息应当按照法律法规规定的期限进行公开。</w:t>
            </w:r>
            <w:r>
              <w:rPr>
                <w:rFonts w:hint="eastAsia" w:ascii="Helvetica" w:hAnsi="Helvetica" w:eastAsiaTheme="minorEastAsia" w:cstheme="minorBidi"/>
                <w:b/>
                <w:bCs/>
                <w:color w:val="auto"/>
                <w:sz w:val="21"/>
                <w:szCs w:val="21"/>
                <w:shd w:val="clear" w:color="auto" w:fill="FFFFFF"/>
                <w:lang w:eastAsia="zh-CN"/>
              </w:rPr>
              <w:t>法律法规没有规定公开期限的，公开期限原则为一年。</w:t>
            </w:r>
            <w:r>
              <w:rPr>
                <w:rFonts w:hint="eastAsia" w:ascii="Helvetica" w:hAnsi="Helvetica" w:eastAsiaTheme="minorEastAsia" w:cstheme="minorBidi"/>
                <w:color w:val="auto"/>
                <w:sz w:val="21"/>
                <w:szCs w:val="21"/>
                <w:shd w:val="clear" w:color="auto" w:fill="FFFFFF"/>
              </w:rPr>
              <w:t>公开期限届满的应当终止公开，转为档案保存。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default" w:ascii="Helvetica" w:hAnsi="Helvetica"/>
                <w:color w:val="auto"/>
                <w:szCs w:val="21"/>
                <w:shd w:val="clear" w:color="auto" w:fill="FFFFFF"/>
                <w:lang w:val="en-US" w:eastAsia="zh-CN"/>
              </w:rPr>
            </w:pPr>
            <w:r>
              <w:rPr>
                <w:rFonts w:hint="eastAsia" w:ascii="黑体" w:hAnsi="黑体" w:eastAsia="黑体" w:cs="黑体"/>
                <w:color w:val="auto"/>
                <w:szCs w:val="21"/>
                <w:shd w:val="clear"/>
                <w:lang w:val="en-US" w:eastAsia="zh-CN"/>
              </w:rPr>
              <w:t>第十七条</w:t>
            </w:r>
          </w:p>
        </w:tc>
        <w:tc>
          <w:tcPr>
            <w:tcW w:w="6240" w:type="dxa"/>
            <w:vAlign w:val="center"/>
          </w:tcPr>
          <w:p>
            <w:pPr>
              <w:numPr>
                <w:ilvl w:val="0"/>
                <w:numId w:val="0"/>
              </w:numPr>
              <w:spacing w:line="360" w:lineRule="exact"/>
              <w:ind w:firstLine="420" w:firstLineChars="200"/>
              <w:jc w:val="both"/>
              <w:rPr>
                <w:rFonts w:hint="eastAsia" w:ascii="Helvetica" w:hAnsi="Helvetica"/>
                <w:color w:val="auto"/>
                <w:szCs w:val="21"/>
                <w:shd w:val="clear" w:color="auto" w:fill="FFFFFF"/>
                <w:lang w:val="en-US" w:eastAsia="zh-CN"/>
              </w:rPr>
            </w:pPr>
            <w:r>
              <w:rPr>
                <w:rFonts w:hint="eastAsia" w:ascii="Helvetica" w:hAnsi="Helvetica"/>
                <w:color w:val="auto"/>
                <w:szCs w:val="21"/>
                <w:u w:val="none"/>
                <w:shd w:val="clear" w:color="auto" w:fill="FFFFFF"/>
                <w:lang w:val="en-US" w:eastAsia="zh-CN"/>
              </w:rPr>
              <w:t xml:space="preserve">第十七条 </w:t>
            </w:r>
            <w:r>
              <w:rPr>
                <w:rFonts w:hint="eastAsia" w:ascii="Helvetica" w:hAnsi="Helvetica"/>
                <w:color w:val="auto"/>
                <w:szCs w:val="21"/>
                <w:u w:val="single"/>
                <w:shd w:val="clear" w:color="auto" w:fill="FFFFFF"/>
                <w:lang w:val="en-US" w:eastAsia="zh-CN"/>
              </w:rPr>
              <w:t>公共资源交易</w:t>
            </w:r>
            <w:r>
              <w:rPr>
                <w:rFonts w:hint="eastAsia" w:ascii="Helvetica" w:hAnsi="Helvetica"/>
                <w:color w:val="auto"/>
                <w:szCs w:val="21"/>
                <w:shd w:val="clear" w:color="auto" w:fill="FFFFFF"/>
                <w:lang w:val="en-US" w:eastAsia="zh-CN"/>
              </w:rPr>
              <w:t>电子服务系统应当与同级公共资源交易电子监管系统、公共信用信息平台、投资项目在线审批监管系统、</w:t>
            </w:r>
            <w:r>
              <w:rPr>
                <w:rFonts w:hint="eastAsia" w:ascii="Helvetica" w:hAnsi="Helvetica"/>
                <w:strike/>
                <w:color w:val="auto"/>
                <w:szCs w:val="21"/>
                <w:shd w:val="clear" w:color="auto" w:fill="FFFFFF"/>
                <w:lang w:val="en-US" w:eastAsia="zh-CN"/>
              </w:rPr>
              <w:t>税务管理系统</w:t>
            </w:r>
            <w:r>
              <w:rPr>
                <w:rFonts w:hint="eastAsia" w:ascii="Helvetica" w:hAnsi="Helvetica"/>
                <w:color w:val="auto"/>
                <w:szCs w:val="21"/>
                <w:shd w:val="clear" w:color="auto" w:fill="FFFFFF"/>
                <w:lang w:val="en-US" w:eastAsia="zh-CN"/>
              </w:rPr>
              <w:t>、政府采购信息公开平台等互联互通，动态交互更新</w:t>
            </w:r>
          </w:p>
        </w:tc>
        <w:tc>
          <w:tcPr>
            <w:tcW w:w="7320" w:type="dxa"/>
            <w:vAlign w:val="center"/>
          </w:tcPr>
          <w:p>
            <w:pPr>
              <w:numPr>
                <w:ilvl w:val="0"/>
                <w:numId w:val="0"/>
              </w:numPr>
              <w:spacing w:line="360" w:lineRule="exact"/>
              <w:ind w:firstLine="420" w:firstLineChars="200"/>
              <w:jc w:val="both"/>
              <w:rPr>
                <w:rFonts w:hint="eastAsia" w:ascii="Helvetica" w:hAnsi="Helvetica"/>
                <w:color w:val="auto"/>
                <w:szCs w:val="21"/>
                <w:shd w:val="clear" w:color="auto" w:fill="FFFFFF"/>
                <w:lang w:val="en-US" w:eastAsia="zh-CN"/>
              </w:rPr>
            </w:pPr>
            <w:r>
              <w:rPr>
                <w:rFonts w:hint="eastAsia" w:ascii="Helvetica" w:hAnsi="Helvetica"/>
                <w:color w:val="auto"/>
                <w:szCs w:val="21"/>
                <w:shd w:val="clear" w:color="auto" w:fill="FFFFFF"/>
                <w:lang w:val="en-US" w:eastAsia="zh-CN"/>
              </w:rPr>
              <w:t>第十五条　公共资源交易</w:t>
            </w:r>
            <w:r>
              <w:rPr>
                <w:rFonts w:hint="default" w:ascii="黑体" w:hAnsi="黑体" w:eastAsia="黑体" w:cs="黑体"/>
                <w:b/>
                <w:bCs/>
                <w:color w:val="auto"/>
                <w:szCs w:val="21"/>
                <w:u w:val="none"/>
                <w:shd w:val="clear" w:color="auto" w:fill="auto"/>
                <w:lang w:val="en-US" w:eastAsia="zh-CN"/>
              </w:rPr>
              <w:t>平台</w:t>
            </w:r>
            <w:r>
              <w:rPr>
                <w:rFonts w:hint="eastAsia" w:ascii="Helvetica" w:hAnsi="Helvetica"/>
                <w:color w:val="auto"/>
                <w:szCs w:val="21"/>
                <w:shd w:val="clear" w:color="auto" w:fill="FFFFFF"/>
                <w:lang w:val="en-US" w:eastAsia="zh-CN"/>
              </w:rPr>
              <w:t>电子服务系统应当与同级公共资源交易电子监管系统、</w:t>
            </w:r>
            <w:r>
              <w:rPr>
                <w:rFonts w:hint="eastAsia" w:ascii="Helvetica" w:hAnsi="Helvetica"/>
                <w:b/>
                <w:bCs/>
                <w:color w:val="auto"/>
                <w:szCs w:val="21"/>
                <w:shd w:val="clear" w:color="auto" w:fill="FFFFFF"/>
                <w:lang w:val="en-US" w:eastAsia="zh-CN"/>
              </w:rPr>
              <w:t>行业信用信息管理系统、</w:t>
            </w:r>
            <w:r>
              <w:rPr>
                <w:rFonts w:hint="eastAsia" w:ascii="Helvetica" w:hAnsi="Helvetica"/>
                <w:color w:val="auto"/>
                <w:szCs w:val="21"/>
                <w:shd w:val="clear" w:color="auto" w:fill="FFFFFF"/>
                <w:lang w:val="en-US" w:eastAsia="zh-CN"/>
              </w:rPr>
              <w:t>公共信用信息平台、投资项目在线审批监管系统、政府采购信息公开平台等互联互通，动态交互更新和共享相关信用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00" w:lineRule="exact"/>
              <w:jc w:val="center"/>
              <w:rPr>
                <w:rFonts w:hint="eastAsia" w:ascii="黑体" w:hAnsi="黑体" w:eastAsia="黑体" w:cs="黑体"/>
                <w:color w:val="auto"/>
                <w:szCs w:val="21"/>
                <w:shd w:val="clear"/>
                <w:lang w:val="en-US" w:eastAsia="zh-CN"/>
              </w:rPr>
            </w:pPr>
            <w:r>
              <w:rPr>
                <w:rFonts w:hint="eastAsia" w:ascii="黑体" w:hAnsi="黑体" w:eastAsia="黑体" w:cs="黑体"/>
                <w:b w:val="0"/>
                <w:bCs/>
                <w:color w:val="auto"/>
                <w:sz w:val="28"/>
                <w:szCs w:val="28"/>
              </w:rPr>
              <w:t>序</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号</w:t>
            </w:r>
          </w:p>
        </w:tc>
        <w:tc>
          <w:tcPr>
            <w:tcW w:w="6240" w:type="dxa"/>
            <w:vAlign w:val="center"/>
          </w:tcPr>
          <w:p>
            <w:pPr>
              <w:spacing w:line="300" w:lineRule="exact"/>
              <w:jc w:val="center"/>
              <w:rPr>
                <w:rFonts w:hint="eastAsia" w:ascii="Helvetica" w:hAnsi="Helvetica"/>
                <w:color w:val="auto"/>
                <w:szCs w:val="21"/>
                <w:u w:val="single"/>
                <w:shd w:val="clear" w:color="auto" w:fill="FFFFFF"/>
                <w:lang w:val="en-US" w:eastAsia="zh-CN"/>
              </w:rPr>
            </w:pPr>
            <w:r>
              <w:rPr>
                <w:rFonts w:hint="eastAsia" w:ascii="黑体" w:hAnsi="黑体" w:eastAsia="黑体" w:cs="黑体"/>
                <w:b w:val="0"/>
                <w:bCs/>
                <w:color w:val="auto"/>
                <w:sz w:val="28"/>
                <w:szCs w:val="28"/>
                <w:lang w:eastAsia="zh-CN"/>
              </w:rPr>
              <w:t>现行规定</w:t>
            </w:r>
          </w:p>
        </w:tc>
        <w:tc>
          <w:tcPr>
            <w:tcW w:w="7320" w:type="dxa"/>
            <w:vAlign w:val="center"/>
          </w:tcPr>
          <w:p>
            <w:pPr>
              <w:spacing w:line="300" w:lineRule="exact"/>
              <w:jc w:val="center"/>
              <w:rPr>
                <w:rFonts w:hint="eastAsia" w:ascii="Helvetica" w:hAnsi="Helvetica"/>
                <w:color w:val="auto"/>
                <w:szCs w:val="21"/>
                <w:shd w:val="clear" w:color="auto" w:fill="FFFFFF"/>
                <w:lang w:val="en-US" w:eastAsia="zh-CN"/>
              </w:rPr>
            </w:pPr>
            <w:r>
              <w:rPr>
                <w:rFonts w:hint="eastAsia" w:ascii="黑体" w:hAnsi="黑体" w:eastAsia="黑体" w:cs="黑体"/>
                <w:b w:val="0"/>
                <w:bCs/>
                <w:color w:val="auto"/>
                <w:sz w:val="28"/>
                <w:szCs w:val="28"/>
              </w:rPr>
              <w:t>修改后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lang w:val="en-US" w:eastAsia="zh-CN"/>
              </w:rPr>
            </w:pPr>
          </w:p>
        </w:tc>
        <w:tc>
          <w:tcPr>
            <w:tcW w:w="6240" w:type="dxa"/>
            <w:vAlign w:val="center"/>
          </w:tcPr>
          <w:p>
            <w:pPr>
              <w:numPr>
                <w:ilvl w:val="0"/>
                <w:numId w:val="0"/>
              </w:numPr>
              <w:spacing w:line="360" w:lineRule="exact"/>
              <w:jc w:val="both"/>
              <w:rPr>
                <w:rFonts w:hint="eastAsia" w:asciiTheme="minorEastAsia" w:hAnsiTheme="minorEastAsia" w:eastAsiaTheme="minorEastAsia" w:cstheme="minorEastAsia"/>
                <w:color w:val="auto"/>
                <w:szCs w:val="21"/>
                <w:u w:val="single"/>
                <w:shd w:val="clear" w:color="auto" w:fill="FFFFFF"/>
                <w:lang w:val="en-US" w:eastAsia="zh-CN"/>
              </w:rPr>
            </w:pPr>
            <w:r>
              <w:rPr>
                <w:rFonts w:hint="eastAsia" w:asciiTheme="minorEastAsia" w:hAnsiTheme="minorEastAsia" w:eastAsiaTheme="minorEastAsia" w:cstheme="minorEastAsia"/>
                <w:color w:val="auto"/>
                <w:szCs w:val="21"/>
                <w:shd w:val="clear" w:color="auto" w:fill="FFFFFF"/>
                <w:lang w:val="en-US" w:eastAsia="zh-CN"/>
              </w:rPr>
              <w:t>和共享相关信用信息。</w:t>
            </w:r>
          </w:p>
        </w:tc>
        <w:tc>
          <w:tcPr>
            <w:tcW w:w="7320" w:type="dxa"/>
            <w:vAlign w:val="center"/>
          </w:tcPr>
          <w:p>
            <w:pPr>
              <w:numPr>
                <w:ilvl w:val="0"/>
                <w:numId w:val="0"/>
              </w:numPr>
              <w:spacing w:line="360" w:lineRule="exact"/>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color="auto" w:fill="FFFFFF"/>
                <w:lang w:val="en-US" w:eastAsia="zh-CN"/>
              </w:rPr>
              <w:t>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第十八条</w:t>
            </w:r>
          </w:p>
        </w:tc>
        <w:tc>
          <w:tcPr>
            <w:tcW w:w="6240" w:type="dxa"/>
            <w:vAlign w:val="center"/>
          </w:tcPr>
          <w:p>
            <w:pPr>
              <w:numPr>
                <w:ilvl w:val="0"/>
                <w:numId w:val="0"/>
              </w:numPr>
              <w:spacing w:line="360" w:lineRule="exact"/>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u w:val="single"/>
                <w:shd w:val="clear" w:color="auto" w:fill="FFFFFF"/>
                <w:lang w:val="en-US" w:eastAsia="zh-CN"/>
              </w:rPr>
              <w:t>第十八条 公共资源交易电子服务系统</w:t>
            </w:r>
            <w:r>
              <w:rPr>
                <w:rFonts w:hint="eastAsia" w:asciiTheme="minorEastAsia" w:hAnsiTheme="minorEastAsia" w:eastAsiaTheme="minorEastAsia" w:cstheme="minorEastAsia"/>
                <w:color w:val="auto"/>
                <w:szCs w:val="21"/>
                <w:shd w:val="clear" w:color="auto" w:fill="FFFFFF"/>
                <w:lang w:val="en-US" w:eastAsia="zh-CN"/>
              </w:rPr>
              <w:t>应当公开相关信用信息的来源、记录责任主体和登记交互时间等内容。未按本办法规定记录、生成、交互的信息，不得在</w:t>
            </w:r>
            <w:r>
              <w:rPr>
                <w:rFonts w:hint="eastAsia" w:asciiTheme="minorEastAsia" w:hAnsiTheme="minorEastAsia" w:eastAsiaTheme="minorEastAsia" w:cstheme="minorEastAsia"/>
                <w:color w:val="auto"/>
                <w:szCs w:val="21"/>
                <w:u w:val="single"/>
                <w:shd w:val="clear" w:color="auto" w:fill="FFFFFF"/>
                <w:lang w:val="en-US" w:eastAsia="zh-CN"/>
              </w:rPr>
              <w:t>公共资源交易电子服务系统</w:t>
            </w:r>
            <w:r>
              <w:rPr>
                <w:rFonts w:hint="eastAsia" w:asciiTheme="minorEastAsia" w:hAnsiTheme="minorEastAsia" w:eastAsiaTheme="minorEastAsia" w:cstheme="minorEastAsia"/>
                <w:color w:val="auto"/>
                <w:szCs w:val="21"/>
                <w:shd w:val="clear" w:color="auto" w:fill="FFFFFF"/>
                <w:lang w:val="en-US" w:eastAsia="zh-CN"/>
              </w:rPr>
              <w:t>公开和应用。</w:t>
            </w:r>
          </w:p>
        </w:tc>
        <w:tc>
          <w:tcPr>
            <w:tcW w:w="732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color="auto" w:fill="FFFFFF"/>
                <w:lang w:val="en-US" w:eastAsia="zh-CN"/>
              </w:rPr>
              <w:t>第十六条　</w:t>
            </w:r>
            <w:r>
              <w:rPr>
                <w:rFonts w:hint="eastAsia" w:asciiTheme="minorEastAsia" w:hAnsiTheme="minorEastAsia" w:eastAsiaTheme="minorEastAsia" w:cstheme="minorEastAsia"/>
                <w:b/>
                <w:bCs/>
                <w:color w:val="auto"/>
                <w:szCs w:val="21"/>
                <w:u w:val="none"/>
                <w:shd w:val="clear" w:color="auto" w:fill="auto"/>
                <w:lang w:val="en-US" w:eastAsia="zh-CN"/>
              </w:rPr>
              <w:t>公共资源交易平台电子服务系统</w:t>
            </w:r>
            <w:r>
              <w:rPr>
                <w:rFonts w:hint="eastAsia" w:asciiTheme="minorEastAsia" w:hAnsiTheme="minorEastAsia" w:eastAsiaTheme="minorEastAsia" w:cstheme="minorEastAsia"/>
                <w:color w:val="auto"/>
                <w:szCs w:val="21"/>
                <w:shd w:val="clear" w:color="auto" w:fill="FFFFFF"/>
                <w:lang w:val="en-US" w:eastAsia="zh-CN"/>
              </w:rPr>
              <w:t>应当公开相关信用信息的来源、记录责任主体和登记交互时间等内容。未按本办法规定记录、生成、交互的信息，不得在</w:t>
            </w:r>
            <w:r>
              <w:rPr>
                <w:rFonts w:hint="eastAsia" w:asciiTheme="minorEastAsia" w:hAnsiTheme="minorEastAsia" w:eastAsiaTheme="minorEastAsia" w:cstheme="minorEastAsia"/>
                <w:b/>
                <w:bCs/>
                <w:color w:val="auto"/>
                <w:szCs w:val="21"/>
                <w:u w:val="none"/>
                <w:shd w:val="clear" w:color="auto" w:fill="auto"/>
                <w:lang w:val="en-US" w:eastAsia="zh-CN"/>
              </w:rPr>
              <w:t>公共资源交易平台电子服务系统</w:t>
            </w:r>
            <w:r>
              <w:rPr>
                <w:rFonts w:hint="eastAsia" w:asciiTheme="minorEastAsia" w:hAnsiTheme="minorEastAsia" w:eastAsiaTheme="minorEastAsia" w:cstheme="minorEastAsia"/>
                <w:color w:val="auto"/>
                <w:szCs w:val="21"/>
                <w:shd w:val="clear" w:color="auto" w:fill="FFFFFF"/>
                <w:lang w:val="en-US" w:eastAsia="zh-CN"/>
              </w:rPr>
              <w:t>公开和应用。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第十九条</w:t>
            </w:r>
          </w:p>
        </w:tc>
        <w:tc>
          <w:tcPr>
            <w:tcW w:w="6240" w:type="dxa"/>
            <w:vAlign w:val="center"/>
          </w:tcPr>
          <w:p>
            <w:pPr>
              <w:numPr>
                <w:ilvl w:val="0"/>
                <w:numId w:val="0"/>
              </w:numPr>
              <w:spacing w:line="360" w:lineRule="exact"/>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color="auto" w:fill="FFFFFF"/>
                <w:lang w:val="en-US" w:eastAsia="zh-CN"/>
              </w:rPr>
              <w:t>公共资源交易平台运行服务机构应当严格按照有关规定，建立健全信用信息安全规章制度，采取必要技术措施，做好数据安全防护工作。建立完善信息登记、查询、使用、审查、核验制度，防止信息泄露。</w:t>
            </w:r>
          </w:p>
        </w:tc>
        <w:tc>
          <w:tcPr>
            <w:tcW w:w="7320" w:type="dxa"/>
            <w:vAlign w:val="center"/>
          </w:tcPr>
          <w:p>
            <w:pPr>
              <w:widowControl/>
              <w:numPr>
                <w:ilvl w:val="0"/>
                <w:numId w:val="0"/>
              </w:numPr>
              <w:spacing w:line="360" w:lineRule="exact"/>
              <w:ind w:firstLine="420" w:firstLineChars="200"/>
              <w:jc w:val="left"/>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 w:val="21"/>
                <w:szCs w:val="21"/>
                <w:shd w:val="clear" w:color="auto" w:fill="FFFFFF"/>
              </w:rPr>
              <w:t>第十</w:t>
            </w:r>
            <w:r>
              <w:rPr>
                <w:rFonts w:hint="eastAsia" w:asciiTheme="minorEastAsia" w:hAnsiTheme="minorEastAsia" w:eastAsiaTheme="minorEastAsia" w:cstheme="minorEastAsia"/>
                <w:color w:val="auto"/>
                <w:sz w:val="21"/>
                <w:szCs w:val="21"/>
                <w:shd w:val="clear" w:color="auto" w:fill="FFFFFF"/>
                <w:lang w:eastAsia="zh-CN"/>
              </w:rPr>
              <w:t>七</w:t>
            </w:r>
            <w:r>
              <w:rPr>
                <w:rFonts w:hint="eastAsia" w:asciiTheme="minorEastAsia" w:hAnsiTheme="minorEastAsia" w:eastAsiaTheme="minorEastAsia" w:cstheme="minorEastAsia"/>
                <w:color w:val="auto"/>
                <w:sz w:val="21"/>
                <w:szCs w:val="21"/>
                <w:shd w:val="clear" w:color="auto" w:fill="FFFFFF"/>
              </w:rPr>
              <w:t xml:space="preserve">条  </w:t>
            </w:r>
            <w:r>
              <w:rPr>
                <w:rFonts w:hint="eastAsia" w:asciiTheme="minorEastAsia" w:hAnsiTheme="minorEastAsia" w:eastAsiaTheme="minorEastAsia" w:cstheme="minorEastAsia"/>
                <w:color w:val="auto"/>
                <w:szCs w:val="21"/>
                <w:shd w:val="clear" w:color="auto" w:fill="FFFFFF"/>
                <w:lang w:val="en-US" w:eastAsia="zh-CN"/>
              </w:rPr>
              <w:t>公共资源交易平台运行服务机构应当严格按照有关规定，采取必要技术措施，做好数据安全防护工作。建立完善信息登记、查询、使用、审查、核验制度，防止信息泄露。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4879" w:type="dxa"/>
            <w:gridSpan w:val="3"/>
            <w:vAlign w:val="center"/>
          </w:tcPr>
          <w:p>
            <w:pPr>
              <w:widowControl/>
              <w:numPr>
                <w:ilvl w:val="0"/>
                <w:numId w:val="0"/>
              </w:numPr>
              <w:spacing w:line="360" w:lineRule="exact"/>
              <w:jc w:val="center"/>
              <w:rPr>
                <w:rFonts w:hint="default" w:asciiTheme="minorEastAsia" w:hAnsiTheme="minorEastAsia" w:eastAsiaTheme="minorEastAsia" w:cstheme="minorEastAsia"/>
                <w:color w:val="auto"/>
                <w:sz w:val="21"/>
                <w:szCs w:val="21"/>
                <w:shd w:val="clear" w:color="auto" w:fill="FFFFFF"/>
                <w:lang w:val="en-US"/>
              </w:rPr>
            </w:pPr>
            <w:r>
              <w:rPr>
                <w:rFonts w:hint="eastAsia" w:asciiTheme="minorEastAsia" w:hAnsiTheme="minorEastAsia" w:eastAsiaTheme="minorEastAsia" w:cstheme="minorEastAsia"/>
                <w:color w:val="auto"/>
                <w:sz w:val="21"/>
                <w:szCs w:val="21"/>
                <w:lang w:val="en-US" w:eastAsia="zh-CN"/>
              </w:rPr>
              <w:t>第四章</w:t>
            </w:r>
            <w:r>
              <w:rPr>
                <w:rFonts w:hint="eastAsia" w:asciiTheme="minorEastAsia" w:hAnsiTheme="minorEastAsia" w:cstheme="minorEastAsia"/>
                <w:color w:val="auto"/>
                <w:sz w:val="21"/>
                <w:szCs w:val="21"/>
                <w:lang w:val="en-US" w:eastAsia="zh-CN"/>
              </w:rPr>
              <w:t xml:space="preserve">  </w:t>
            </w:r>
            <w:r>
              <w:rPr>
                <w:rFonts w:hint="eastAsia" w:asciiTheme="minorEastAsia" w:hAnsiTheme="minorEastAsia" w:eastAsiaTheme="minorEastAsia" w:cstheme="minorEastAsia"/>
                <w:color w:val="auto"/>
                <w:sz w:val="21"/>
                <w:szCs w:val="21"/>
                <w:lang w:val="en-US" w:eastAsia="zh-CN"/>
              </w:rPr>
              <w:t>信用激励和惩戒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第二十条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color="auto" w:fill="FFFFFF"/>
                <w:lang w:val="en-US" w:eastAsia="zh-CN"/>
              </w:rPr>
              <w:t>第二十条  鼓励公共资源交易活动当事人在公共资源交易活动中主动查询相关主体的信用信息。</w:t>
            </w:r>
          </w:p>
        </w:tc>
        <w:tc>
          <w:tcPr>
            <w:tcW w:w="732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color="auto" w:fill="FFFFFF"/>
                <w:lang w:val="en-US" w:eastAsia="zh-CN"/>
              </w:rPr>
              <w:t>第十八条 鼓励公共资源交易活动当事人在公共资源交易活动中主动查询相关主体的信用信息。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第二十一条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color="auto" w:fill="FFFFFF"/>
                <w:lang w:val="en-US" w:eastAsia="zh-CN"/>
              </w:rPr>
              <w:t>第二十一条 公共资源交易活动当事人有第八条规定情形的，在参与公共资源交易活动时，相关行政监督管理部门</w:t>
            </w:r>
            <w:r>
              <w:rPr>
                <w:rFonts w:hint="eastAsia" w:asciiTheme="minorEastAsia" w:hAnsiTheme="minorEastAsia" w:eastAsiaTheme="minorEastAsia" w:cstheme="minorEastAsia"/>
                <w:color w:val="auto"/>
                <w:szCs w:val="21"/>
                <w:u w:val="single"/>
                <w:shd w:val="clear" w:color="auto" w:fill="FFFFFF"/>
                <w:lang w:val="en-US" w:eastAsia="zh-CN"/>
              </w:rPr>
              <w:t>应当指导、监督项目发起方及有关机构，采取以下惩戒措施</w:t>
            </w:r>
            <w:r>
              <w:rPr>
                <w:rFonts w:hint="eastAsia" w:asciiTheme="minorEastAsia" w:hAnsiTheme="minorEastAsia" w:eastAsiaTheme="minorEastAsia" w:cstheme="minorEastAsia"/>
                <w:color w:val="auto"/>
                <w:szCs w:val="21"/>
                <w:shd w:val="clear" w:color="auto" w:fill="FFFFFF"/>
                <w:lang w:val="en-US" w:eastAsia="zh-CN"/>
              </w:rPr>
              <w:t>：</w:t>
            </w:r>
          </w:p>
          <w:p>
            <w:pPr>
              <w:numPr>
                <w:ilvl w:val="0"/>
                <w:numId w:val="0"/>
              </w:numPr>
              <w:spacing w:line="360" w:lineRule="exact"/>
              <w:ind w:firstLine="420" w:firstLineChars="200"/>
              <w:jc w:val="both"/>
              <w:rPr>
                <w:rFonts w:hint="eastAsia" w:asciiTheme="minorEastAsia" w:hAnsiTheme="minorEastAsia" w:eastAsiaTheme="minorEastAsia" w:cstheme="minorEastAsia"/>
                <w:strike/>
                <w:color w:val="auto"/>
                <w:szCs w:val="21"/>
                <w:u w:val="none"/>
                <w:shd w:val="clear" w:color="auto" w:fill="FFFFFF"/>
                <w:lang w:val="en-US" w:eastAsia="zh-CN"/>
              </w:rPr>
            </w:pPr>
            <w:r>
              <w:rPr>
                <w:rFonts w:hint="eastAsia" w:asciiTheme="minorEastAsia" w:hAnsiTheme="minorEastAsia" w:eastAsiaTheme="minorEastAsia" w:cstheme="minorEastAsia"/>
                <w:strike/>
                <w:color w:val="auto"/>
                <w:szCs w:val="21"/>
                <w:u w:val="none"/>
                <w:shd w:val="clear" w:color="auto" w:fill="FFFFFF"/>
                <w:lang w:val="en-US" w:eastAsia="zh-CN"/>
              </w:rPr>
              <w:t>（一）项目发起方通过招标文件等交易文件约定，依法限制其参与公共资源交易活动。以联合体形式申请交易的，联合体任一成员有惩戒信息的，应将该联合体视为被惩戒对象；</w:t>
            </w:r>
          </w:p>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strike/>
                <w:color w:val="auto"/>
                <w:szCs w:val="21"/>
                <w:u w:val="none"/>
                <w:shd w:val="clear" w:color="auto" w:fill="FFFFFF"/>
                <w:lang w:val="en-US" w:eastAsia="zh-CN"/>
              </w:rPr>
              <w:t>（二）项目发起方在委托相关代理机构开展交易事宜前，应当查询其信用信息，依法限制失信代理机构从事代理业务；</w:t>
            </w:r>
          </w:p>
        </w:tc>
        <w:tc>
          <w:tcPr>
            <w:tcW w:w="732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color="auto" w:fill="FFFFFF"/>
                <w:lang w:val="en-US" w:eastAsia="zh-CN"/>
              </w:rPr>
              <w:t>第十九条 公共资源交易活动当事人有第八条规定情形的，有关行政监督管理部门应当</w:t>
            </w:r>
            <w:r>
              <w:rPr>
                <w:rFonts w:hint="eastAsia" w:asciiTheme="minorEastAsia" w:hAnsiTheme="minorEastAsia" w:eastAsiaTheme="minorEastAsia" w:cstheme="minorEastAsia"/>
                <w:b/>
                <w:bCs/>
                <w:color w:val="auto"/>
                <w:szCs w:val="21"/>
                <w:u w:val="none"/>
                <w:shd w:val="clear" w:color="auto" w:fill="auto"/>
                <w:lang w:val="en-US" w:eastAsia="zh-CN"/>
              </w:rPr>
              <w:t>按照全国失信惩戒措施基础清单</w:t>
            </w:r>
            <w:r>
              <w:rPr>
                <w:rFonts w:hint="eastAsia" w:asciiTheme="minorEastAsia" w:hAnsiTheme="minorEastAsia" w:eastAsiaTheme="minorEastAsia" w:cstheme="minorEastAsia"/>
                <w:color w:val="auto"/>
                <w:szCs w:val="21"/>
                <w:shd w:val="clear" w:color="auto" w:fill="FFFFFF"/>
                <w:lang w:val="en-US" w:eastAsia="zh-CN"/>
              </w:rPr>
              <w:t>对其采取以下惩戒措施：</w:t>
            </w:r>
          </w:p>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u w:val="none"/>
                <w:shd w:val="clear" w:color="auto" w:fill="auto"/>
                <w:lang w:val="en-US" w:eastAsia="zh-CN"/>
              </w:rPr>
            </w:pPr>
            <w:r>
              <w:rPr>
                <w:rFonts w:hint="eastAsia" w:asciiTheme="minorEastAsia" w:hAnsiTheme="minorEastAsia" w:eastAsiaTheme="minorEastAsia" w:cstheme="minorEastAsia"/>
                <w:color w:val="auto"/>
                <w:szCs w:val="21"/>
                <w:u w:val="none"/>
                <w:shd w:val="clear" w:color="auto" w:fill="auto"/>
                <w:lang w:val="en-US" w:eastAsia="zh-CN"/>
              </w:rPr>
              <w:t>（一）在一定期限内依法限制或禁止参加依法必须进行的项目招标、政府采购、药品采购、资产或权益类交易等公共资源交易活动；</w:t>
            </w:r>
          </w:p>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u w:val="none"/>
                <w:shd w:val="clear" w:color="auto" w:fill="auto"/>
                <w:lang w:val="en-US" w:eastAsia="zh-CN"/>
              </w:rPr>
            </w:pPr>
            <w:r>
              <w:rPr>
                <w:rFonts w:hint="eastAsia" w:asciiTheme="minorEastAsia" w:hAnsiTheme="minorEastAsia" w:eastAsiaTheme="minorEastAsia" w:cstheme="minorEastAsia"/>
                <w:color w:val="auto"/>
                <w:szCs w:val="21"/>
                <w:u w:val="none"/>
                <w:shd w:val="clear" w:color="auto" w:fill="auto"/>
                <w:lang w:val="en-US" w:eastAsia="zh-CN"/>
              </w:rPr>
              <w:t>（二）在一定期限内依法限制或禁止代理依法必须进行的项目招标、政府采购等公共资源交易活动；</w:t>
            </w:r>
          </w:p>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u w:val="none"/>
                <w:shd w:val="clear" w:color="auto" w:fill="auto"/>
                <w:lang w:val="en-US" w:eastAsia="zh-CN"/>
              </w:rPr>
            </w:pPr>
            <w:r>
              <w:rPr>
                <w:rFonts w:hint="eastAsia" w:asciiTheme="minorEastAsia" w:hAnsiTheme="minorEastAsia" w:eastAsiaTheme="minorEastAsia" w:cstheme="minorEastAsia"/>
                <w:color w:val="auto"/>
                <w:szCs w:val="21"/>
                <w:u w:val="none"/>
                <w:shd w:val="clear" w:color="auto" w:fill="auto"/>
                <w:lang w:val="en-US" w:eastAsia="zh-CN"/>
              </w:rPr>
              <w:t>（三）依法取消评标（评审）专家资格或限制其参加评标评审；</w:t>
            </w:r>
          </w:p>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u w:val="none"/>
                <w:shd w:val="clear" w:color="auto" w:fill="auto"/>
                <w:lang w:val="en-US" w:eastAsia="zh-CN"/>
              </w:rPr>
              <w:t>（四）依法依规纳入严重失信主体名单；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00" w:lineRule="exact"/>
              <w:jc w:val="center"/>
              <w:rPr>
                <w:rFonts w:hint="eastAsia" w:ascii="黑体" w:hAnsi="黑体" w:eastAsia="黑体" w:cs="黑体"/>
                <w:color w:val="auto"/>
                <w:szCs w:val="21"/>
                <w:shd w:val="clear"/>
                <w:lang w:val="en-US" w:eastAsia="zh-CN"/>
              </w:rPr>
            </w:pPr>
            <w:r>
              <w:rPr>
                <w:rFonts w:hint="eastAsia" w:ascii="黑体" w:hAnsi="黑体" w:eastAsia="黑体" w:cs="黑体"/>
                <w:b w:val="0"/>
                <w:bCs/>
                <w:color w:val="auto"/>
                <w:sz w:val="28"/>
                <w:szCs w:val="28"/>
              </w:rPr>
              <w:t>序</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号</w:t>
            </w:r>
          </w:p>
        </w:tc>
        <w:tc>
          <w:tcPr>
            <w:tcW w:w="6240" w:type="dxa"/>
            <w:vAlign w:val="center"/>
          </w:tcPr>
          <w:p>
            <w:pPr>
              <w:spacing w:line="300" w:lineRule="exact"/>
              <w:jc w:val="center"/>
              <w:rPr>
                <w:rFonts w:hint="eastAsia" w:ascii="Helvetica" w:hAnsi="Helvetica"/>
                <w:color w:val="auto"/>
                <w:szCs w:val="21"/>
                <w:u w:val="single"/>
                <w:shd w:val="clear" w:color="auto" w:fill="FFFFFF"/>
                <w:lang w:val="en-US" w:eastAsia="zh-CN"/>
              </w:rPr>
            </w:pPr>
            <w:r>
              <w:rPr>
                <w:rFonts w:hint="eastAsia" w:ascii="黑体" w:hAnsi="黑体" w:eastAsia="黑体" w:cs="黑体"/>
                <w:b w:val="0"/>
                <w:bCs/>
                <w:color w:val="auto"/>
                <w:sz w:val="28"/>
                <w:szCs w:val="28"/>
                <w:lang w:eastAsia="zh-CN"/>
              </w:rPr>
              <w:t>现行规定</w:t>
            </w:r>
          </w:p>
        </w:tc>
        <w:tc>
          <w:tcPr>
            <w:tcW w:w="7320" w:type="dxa"/>
            <w:vAlign w:val="center"/>
          </w:tcPr>
          <w:p>
            <w:pPr>
              <w:spacing w:line="300" w:lineRule="exact"/>
              <w:jc w:val="center"/>
              <w:rPr>
                <w:rFonts w:hint="default" w:ascii="黑体" w:hAnsi="黑体" w:eastAsia="黑体" w:cs="黑体"/>
                <w:b/>
                <w:bCs/>
                <w:color w:val="auto"/>
                <w:szCs w:val="21"/>
                <w:u w:val="none"/>
                <w:shd w:val="clear" w:color="auto" w:fill="auto"/>
                <w:lang w:val="en-US" w:eastAsia="zh-CN"/>
              </w:rPr>
            </w:pPr>
            <w:r>
              <w:rPr>
                <w:rFonts w:hint="eastAsia" w:ascii="黑体" w:hAnsi="黑体" w:eastAsia="黑体" w:cs="黑体"/>
                <w:b w:val="0"/>
                <w:bCs/>
                <w:color w:val="auto"/>
                <w:sz w:val="28"/>
                <w:szCs w:val="28"/>
              </w:rPr>
              <w:t>修改后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lang w:val="en-US" w:eastAsia="zh-CN"/>
              </w:rPr>
            </w:pPr>
            <w:r>
              <w:rPr>
                <w:rFonts w:hint="eastAsia" w:asciiTheme="minorEastAsia" w:hAnsiTheme="minorEastAsia" w:eastAsiaTheme="minorEastAsia" w:cstheme="minorEastAsia"/>
                <w:color w:val="auto"/>
                <w:szCs w:val="21"/>
                <w:shd w:val="clear"/>
                <w:lang w:val="en-US" w:eastAsia="zh-CN"/>
              </w:rPr>
              <w:t>第二十一条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strike/>
                <w:color w:val="auto"/>
                <w:szCs w:val="21"/>
                <w:u w:val="none"/>
                <w:shd w:val="clear" w:color="auto" w:fill="FFFFFF"/>
                <w:lang w:val="en-US" w:eastAsia="zh-CN"/>
              </w:rPr>
            </w:pPr>
            <w:r>
              <w:rPr>
                <w:rFonts w:hint="eastAsia" w:asciiTheme="minorEastAsia" w:hAnsiTheme="minorEastAsia" w:eastAsiaTheme="minorEastAsia" w:cstheme="minorEastAsia"/>
                <w:strike/>
                <w:color w:val="auto"/>
                <w:szCs w:val="21"/>
                <w:u w:val="none"/>
                <w:shd w:val="clear" w:color="auto" w:fill="FFFFFF"/>
                <w:lang w:val="en-US" w:eastAsia="zh-CN"/>
              </w:rPr>
              <w:t>（三）评标评审专家库管理部门不得聘用有法律法规禁止的惩戒信息的自然人为评标评审专家。在聘用期间产生相应的惩戒信息的，应及时清退或作出处理；</w:t>
            </w:r>
          </w:p>
          <w:p>
            <w:pPr>
              <w:numPr>
                <w:ilvl w:val="0"/>
                <w:numId w:val="0"/>
              </w:numPr>
              <w:spacing w:line="360" w:lineRule="exact"/>
              <w:ind w:firstLine="420" w:firstLineChars="200"/>
              <w:jc w:val="both"/>
              <w:rPr>
                <w:rFonts w:hint="eastAsia" w:asciiTheme="minorEastAsia" w:hAnsiTheme="minorEastAsia" w:eastAsiaTheme="minorEastAsia" w:cstheme="minorEastAsia"/>
                <w:strike/>
                <w:color w:val="auto"/>
                <w:szCs w:val="21"/>
                <w:u w:val="none"/>
                <w:shd w:val="clear" w:color="auto" w:fill="FFFFFF"/>
                <w:lang w:val="en-US" w:eastAsia="zh-CN"/>
              </w:rPr>
            </w:pPr>
            <w:r>
              <w:rPr>
                <w:rFonts w:hint="eastAsia" w:asciiTheme="minorEastAsia" w:hAnsiTheme="minorEastAsia" w:eastAsiaTheme="minorEastAsia" w:cstheme="minorEastAsia"/>
                <w:strike/>
                <w:color w:val="auto"/>
                <w:szCs w:val="21"/>
                <w:u w:val="none"/>
                <w:shd w:val="clear" w:color="auto" w:fill="FFFFFF"/>
                <w:lang w:val="en-US" w:eastAsia="zh-CN"/>
              </w:rPr>
              <w:t>（四）中介代理或服务机构应当通过聘用文件中的聘用和解聘条件作出约定，依法限制有失信信息的从业人员参与公共资源交易活动；</w:t>
            </w:r>
          </w:p>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u w:val="single"/>
                <w:shd w:val="clear" w:color="auto" w:fill="FFFFFF"/>
                <w:lang w:val="en-US" w:eastAsia="zh-CN"/>
              </w:rPr>
            </w:pPr>
            <w:r>
              <w:rPr>
                <w:rFonts w:hint="eastAsia" w:asciiTheme="minorEastAsia" w:hAnsiTheme="minorEastAsia" w:eastAsiaTheme="minorEastAsia" w:cstheme="minorEastAsia"/>
                <w:strike/>
                <w:color w:val="auto"/>
                <w:szCs w:val="21"/>
                <w:u w:val="none"/>
                <w:shd w:val="clear" w:color="auto" w:fill="FFFFFF"/>
                <w:lang w:val="en-US" w:eastAsia="zh-CN"/>
              </w:rPr>
              <w:t>（五）相关行政监督管理部门应将其列为重点监督检查对象，在日常监督和专项检查中增加检查频次。</w:t>
            </w:r>
          </w:p>
        </w:tc>
        <w:tc>
          <w:tcPr>
            <w:tcW w:w="7320" w:type="dxa"/>
            <w:vAlign w:val="top"/>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u w:val="none"/>
                <w:shd w:val="clear" w:color="auto" w:fill="auto"/>
                <w:lang w:val="en-US" w:eastAsia="zh-CN"/>
              </w:rPr>
            </w:pPr>
            <w:r>
              <w:rPr>
                <w:rFonts w:hint="eastAsia" w:asciiTheme="minorEastAsia" w:hAnsiTheme="minorEastAsia" w:eastAsiaTheme="minorEastAsia" w:cstheme="minorEastAsia"/>
                <w:color w:val="auto"/>
                <w:szCs w:val="21"/>
                <w:u w:val="none"/>
                <w:shd w:val="clear" w:color="auto" w:fill="auto"/>
                <w:lang w:val="en-US" w:eastAsia="zh-CN"/>
              </w:rPr>
              <w:t>（五）法律、法规、规章或者规范性文件规定的其他惩戒措施。</w:t>
            </w:r>
          </w:p>
          <w:p>
            <w:pPr>
              <w:numPr>
                <w:ilvl w:val="0"/>
                <w:numId w:val="0"/>
              </w:numPr>
              <w:spacing w:line="360" w:lineRule="exact"/>
              <w:jc w:val="both"/>
              <w:rPr>
                <w:rFonts w:hint="eastAsia" w:asciiTheme="minorEastAsia" w:hAnsiTheme="minorEastAsia" w:eastAsiaTheme="minorEastAsia" w:cstheme="minorEastAsia"/>
                <w:b/>
                <w:bCs/>
                <w:color w:val="auto"/>
                <w:szCs w:val="21"/>
                <w:u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第二十二条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color="auto" w:fill="FFFFFF"/>
                <w:lang w:val="en-US" w:eastAsia="zh-CN"/>
              </w:rPr>
              <w:t>第二十二条  公共资源交易活动当事人有第九条规定的奖励信息的，可以采取以下激励措施：</w:t>
            </w:r>
          </w:p>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u w:val="single"/>
                <w:shd w:val="clear" w:color="auto" w:fill="FFFFFF"/>
                <w:lang w:val="en-US" w:eastAsia="zh-CN"/>
              </w:rPr>
            </w:pPr>
            <w:r>
              <w:rPr>
                <w:rFonts w:hint="eastAsia" w:asciiTheme="minorEastAsia" w:hAnsiTheme="minorEastAsia" w:eastAsiaTheme="minorEastAsia" w:cstheme="minorEastAsia"/>
                <w:color w:val="auto"/>
                <w:szCs w:val="21"/>
                <w:u w:val="single"/>
                <w:shd w:val="clear" w:color="auto" w:fill="FFFFFF"/>
                <w:lang w:val="en-US" w:eastAsia="zh-CN"/>
              </w:rPr>
              <w:t>（一）公共资源交易平台运行服务机构可提供优先办理、简化程序等便利服务措施；</w:t>
            </w:r>
          </w:p>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u w:val="single"/>
                <w:shd w:val="clear" w:color="auto" w:fill="FFFFFF"/>
                <w:lang w:val="en-US" w:eastAsia="zh-CN"/>
              </w:rPr>
            </w:pPr>
            <w:r>
              <w:rPr>
                <w:rFonts w:hint="eastAsia" w:asciiTheme="minorEastAsia" w:hAnsiTheme="minorEastAsia" w:eastAsiaTheme="minorEastAsia" w:cstheme="minorEastAsia"/>
                <w:color w:val="auto"/>
                <w:szCs w:val="21"/>
                <w:u w:val="single"/>
                <w:shd w:val="clear" w:color="auto" w:fill="FFFFFF"/>
                <w:lang w:val="en-US" w:eastAsia="zh-CN"/>
              </w:rPr>
              <w:t>（二）鼓励项目发起方通过招标文件等交易文件约定，在评标办法中进行信用加分；</w:t>
            </w:r>
          </w:p>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u w:val="single"/>
                <w:shd w:val="clear" w:color="auto" w:fill="FFFFFF"/>
                <w:lang w:val="en-US" w:eastAsia="zh-CN"/>
              </w:rPr>
            </w:pPr>
            <w:r>
              <w:rPr>
                <w:rFonts w:hint="eastAsia" w:asciiTheme="minorEastAsia" w:hAnsiTheme="minorEastAsia" w:eastAsiaTheme="minorEastAsia" w:cstheme="minorEastAsia"/>
                <w:color w:val="auto"/>
                <w:szCs w:val="21"/>
                <w:u w:val="single"/>
                <w:shd w:val="clear" w:color="auto" w:fill="FFFFFF"/>
                <w:lang w:val="en-US" w:eastAsia="zh-CN"/>
              </w:rPr>
              <w:t>（三）鼓励项目发起方同等条件下优先选择信用较好的中介代理和服务机构；</w:t>
            </w:r>
          </w:p>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u w:val="single"/>
                <w:shd w:val="clear" w:color="auto" w:fill="FFFFFF"/>
                <w:lang w:val="en-US" w:eastAsia="zh-CN"/>
              </w:rPr>
              <w:t>（四）对评标评审专家年度考核予以加分，到期优先续聘。</w:t>
            </w:r>
          </w:p>
        </w:tc>
        <w:tc>
          <w:tcPr>
            <w:tcW w:w="732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color="auto" w:fill="FFFFFF"/>
                <w:lang w:val="en-US" w:eastAsia="zh-CN"/>
              </w:rPr>
              <w:t>第二十条 公共资源交易活动当事人有第九条规定的奖励信息的，可以采取以下激励措施：</w:t>
            </w:r>
          </w:p>
          <w:p>
            <w:pPr>
              <w:numPr>
                <w:ilvl w:val="0"/>
                <w:numId w:val="0"/>
              </w:numPr>
              <w:spacing w:line="360" w:lineRule="exact"/>
              <w:ind w:firstLine="422" w:firstLineChars="200"/>
              <w:jc w:val="both"/>
              <w:rPr>
                <w:rFonts w:hint="eastAsia" w:asciiTheme="minorEastAsia" w:hAnsiTheme="minorEastAsia" w:eastAsiaTheme="minorEastAsia" w:cstheme="minorEastAsia"/>
                <w:b/>
                <w:bCs/>
                <w:color w:val="auto"/>
                <w:szCs w:val="21"/>
                <w:u w:val="none"/>
                <w:shd w:val="clear" w:color="auto" w:fill="auto"/>
                <w:lang w:val="en-US" w:eastAsia="zh-CN"/>
              </w:rPr>
            </w:pPr>
            <w:r>
              <w:rPr>
                <w:rFonts w:hint="eastAsia" w:asciiTheme="minorEastAsia" w:hAnsiTheme="minorEastAsia" w:eastAsiaTheme="minorEastAsia" w:cstheme="minorEastAsia"/>
                <w:b/>
                <w:bCs/>
                <w:color w:val="auto"/>
                <w:szCs w:val="21"/>
                <w:u w:val="none"/>
                <w:shd w:val="clear" w:color="auto" w:fill="auto"/>
                <w:lang w:val="en-US" w:eastAsia="zh-CN"/>
              </w:rPr>
              <w:t>（一）鼓励项目发起方通过招标文件等交易文件约定，在评标办法中进行信用加分；</w:t>
            </w:r>
          </w:p>
          <w:p>
            <w:pPr>
              <w:numPr>
                <w:ilvl w:val="0"/>
                <w:numId w:val="0"/>
              </w:numPr>
              <w:spacing w:line="360" w:lineRule="exact"/>
              <w:ind w:firstLine="422" w:firstLineChars="200"/>
              <w:jc w:val="both"/>
              <w:rPr>
                <w:rFonts w:hint="eastAsia" w:asciiTheme="minorEastAsia" w:hAnsiTheme="minorEastAsia" w:eastAsiaTheme="minorEastAsia" w:cstheme="minorEastAsia"/>
                <w:b/>
                <w:bCs/>
                <w:color w:val="auto"/>
                <w:szCs w:val="21"/>
                <w:u w:val="none"/>
                <w:shd w:val="clear" w:color="auto" w:fill="auto"/>
                <w:lang w:val="en-US" w:eastAsia="zh-CN"/>
              </w:rPr>
            </w:pPr>
            <w:r>
              <w:rPr>
                <w:rFonts w:hint="eastAsia" w:asciiTheme="minorEastAsia" w:hAnsiTheme="minorEastAsia" w:eastAsiaTheme="minorEastAsia" w:cstheme="minorEastAsia"/>
                <w:b/>
                <w:bCs/>
                <w:color w:val="auto"/>
                <w:szCs w:val="21"/>
                <w:u w:val="none"/>
                <w:shd w:val="clear" w:color="auto" w:fill="auto"/>
                <w:lang w:val="en-US" w:eastAsia="zh-CN"/>
              </w:rPr>
              <w:t>（二）鼓励项目发起方同等条件下优先选择信用较好的中介代理和服务机构；</w:t>
            </w:r>
          </w:p>
          <w:p>
            <w:pPr>
              <w:numPr>
                <w:ilvl w:val="0"/>
                <w:numId w:val="0"/>
              </w:numPr>
              <w:spacing w:line="360" w:lineRule="exact"/>
              <w:ind w:firstLine="422" w:firstLineChars="200"/>
              <w:jc w:val="both"/>
              <w:rPr>
                <w:rFonts w:hint="eastAsia" w:asciiTheme="minorEastAsia" w:hAnsiTheme="minorEastAsia" w:eastAsiaTheme="minorEastAsia" w:cstheme="minorEastAsia"/>
                <w:b/>
                <w:bCs/>
                <w:color w:val="auto"/>
                <w:szCs w:val="21"/>
                <w:u w:val="none"/>
                <w:shd w:val="clear" w:color="auto" w:fill="auto"/>
                <w:lang w:val="en-US" w:eastAsia="zh-CN"/>
              </w:rPr>
            </w:pPr>
            <w:r>
              <w:rPr>
                <w:rFonts w:hint="eastAsia" w:asciiTheme="minorEastAsia" w:hAnsiTheme="minorEastAsia" w:eastAsiaTheme="minorEastAsia" w:cstheme="minorEastAsia"/>
                <w:b/>
                <w:bCs/>
                <w:color w:val="auto"/>
                <w:szCs w:val="21"/>
                <w:u w:val="none"/>
                <w:shd w:val="clear" w:color="auto" w:fill="auto"/>
                <w:lang w:val="en-US" w:eastAsia="zh-CN"/>
              </w:rPr>
              <w:t>（三）对于政府投资项目以外的依法必须招标项目和非依法必须招标项目，鼓励招标人对行业领域信用记录良好或者省公共信用综合评价结果为诚实守法类的投标人，给予减免投标保证金的优惠待遇；</w:t>
            </w:r>
          </w:p>
          <w:p>
            <w:pPr>
              <w:numPr>
                <w:ilvl w:val="0"/>
                <w:numId w:val="0"/>
              </w:numPr>
              <w:spacing w:line="360" w:lineRule="exact"/>
              <w:ind w:firstLine="422" w:firstLineChars="200"/>
              <w:jc w:val="both"/>
              <w:rPr>
                <w:rFonts w:hint="eastAsia" w:asciiTheme="minorEastAsia" w:hAnsiTheme="minorEastAsia" w:eastAsiaTheme="minorEastAsia" w:cstheme="minorEastAsia"/>
                <w:b/>
                <w:bCs/>
                <w:color w:val="auto"/>
                <w:szCs w:val="21"/>
                <w:u w:val="none"/>
                <w:shd w:val="clear" w:color="auto" w:fill="auto"/>
                <w:lang w:val="en-US" w:eastAsia="zh-CN"/>
              </w:rPr>
            </w:pPr>
            <w:r>
              <w:rPr>
                <w:rFonts w:hint="eastAsia" w:asciiTheme="minorEastAsia" w:hAnsiTheme="minorEastAsia" w:eastAsiaTheme="minorEastAsia" w:cstheme="minorEastAsia"/>
                <w:b/>
                <w:bCs/>
                <w:color w:val="auto"/>
                <w:szCs w:val="21"/>
                <w:u w:val="none"/>
                <w:shd w:val="clear" w:color="auto" w:fill="auto"/>
                <w:lang w:val="en-US" w:eastAsia="zh-CN"/>
              </w:rPr>
              <w:t>（四）鼓励金融机构将行业信用评价结果或公共资源交易信用评价结果纳入信贷指标体系，为评价结果较好的当事人提供更多金融优惠措施；</w:t>
            </w:r>
          </w:p>
          <w:p>
            <w:pPr>
              <w:numPr>
                <w:ilvl w:val="0"/>
                <w:numId w:val="0"/>
              </w:numPr>
              <w:spacing w:line="360" w:lineRule="exact"/>
              <w:ind w:firstLine="422"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b/>
                <w:bCs/>
                <w:color w:val="auto"/>
                <w:szCs w:val="21"/>
                <w:u w:val="none"/>
                <w:shd w:val="clear" w:color="auto" w:fill="auto"/>
                <w:lang w:val="en-US" w:eastAsia="zh-CN"/>
              </w:rPr>
              <w:t>（五）法律、法规及规章对公共资源交易信用评价结果的应用另有规定的，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00" w:lineRule="exact"/>
              <w:jc w:val="center"/>
              <w:rPr>
                <w:rFonts w:hint="eastAsia" w:ascii="黑体" w:hAnsi="黑体" w:eastAsia="黑体" w:cs="黑体"/>
                <w:color w:val="auto"/>
                <w:szCs w:val="21"/>
                <w:shd w:val="clear"/>
                <w:lang w:val="en-US" w:eastAsia="zh-CN"/>
              </w:rPr>
            </w:pPr>
            <w:r>
              <w:rPr>
                <w:rFonts w:hint="eastAsia" w:ascii="黑体" w:hAnsi="黑体" w:eastAsia="黑体" w:cs="黑体"/>
                <w:b w:val="0"/>
                <w:bCs/>
                <w:color w:val="auto"/>
                <w:sz w:val="28"/>
                <w:szCs w:val="28"/>
              </w:rPr>
              <w:t>序</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号</w:t>
            </w:r>
          </w:p>
        </w:tc>
        <w:tc>
          <w:tcPr>
            <w:tcW w:w="6240" w:type="dxa"/>
            <w:vAlign w:val="center"/>
          </w:tcPr>
          <w:p>
            <w:pPr>
              <w:spacing w:line="300" w:lineRule="exact"/>
              <w:jc w:val="center"/>
              <w:rPr>
                <w:rFonts w:hint="eastAsia" w:ascii="Helvetica" w:hAnsi="Helvetica"/>
                <w:color w:val="auto"/>
                <w:szCs w:val="21"/>
                <w:shd w:val="clear" w:color="auto" w:fill="FFFFFF"/>
                <w:lang w:val="en-US" w:eastAsia="zh-CN"/>
              </w:rPr>
            </w:pPr>
            <w:r>
              <w:rPr>
                <w:rFonts w:hint="eastAsia" w:ascii="黑体" w:hAnsi="黑体" w:eastAsia="黑体" w:cs="黑体"/>
                <w:b w:val="0"/>
                <w:bCs/>
                <w:color w:val="auto"/>
                <w:sz w:val="28"/>
                <w:szCs w:val="28"/>
                <w:lang w:eastAsia="zh-CN"/>
              </w:rPr>
              <w:t>现行规定</w:t>
            </w:r>
          </w:p>
        </w:tc>
        <w:tc>
          <w:tcPr>
            <w:tcW w:w="7320" w:type="dxa"/>
            <w:vAlign w:val="center"/>
          </w:tcPr>
          <w:p>
            <w:pPr>
              <w:spacing w:line="300" w:lineRule="exact"/>
              <w:jc w:val="center"/>
              <w:rPr>
                <w:rFonts w:hint="default" w:ascii="黑体" w:hAnsi="黑体" w:eastAsia="黑体" w:cs="黑体"/>
                <w:b/>
                <w:bCs/>
                <w:color w:val="auto"/>
                <w:szCs w:val="21"/>
                <w:u w:val="none"/>
                <w:shd w:val="clear" w:color="auto" w:fill="auto"/>
                <w:lang w:val="en-US" w:eastAsia="zh-CN"/>
              </w:rPr>
            </w:pPr>
            <w:r>
              <w:rPr>
                <w:rFonts w:hint="eastAsia" w:ascii="黑体" w:hAnsi="黑体" w:eastAsia="黑体" w:cs="黑体"/>
                <w:b w:val="0"/>
                <w:bCs/>
                <w:color w:val="auto"/>
                <w:sz w:val="28"/>
                <w:szCs w:val="28"/>
              </w:rPr>
              <w:t>修改后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lang w:val="en-US" w:eastAsia="zh-CN"/>
              </w:rPr>
            </w:pPr>
          </w:p>
        </w:tc>
        <w:tc>
          <w:tcPr>
            <w:tcW w:w="6240" w:type="dxa"/>
            <w:vAlign w:val="center"/>
          </w:tcPr>
          <w:p>
            <w:pPr>
              <w:numPr>
                <w:ilvl w:val="0"/>
                <w:numId w:val="0"/>
              </w:numPr>
              <w:spacing w:line="360" w:lineRule="exact"/>
              <w:jc w:val="both"/>
              <w:rPr>
                <w:rFonts w:hint="eastAsia" w:asciiTheme="minorEastAsia" w:hAnsiTheme="minorEastAsia" w:eastAsiaTheme="minorEastAsia" w:cstheme="minorEastAsia"/>
                <w:color w:val="auto"/>
                <w:szCs w:val="21"/>
                <w:shd w:val="clear" w:color="auto" w:fill="FFFFFF"/>
                <w:lang w:val="en-US" w:eastAsia="zh-CN"/>
              </w:rPr>
            </w:pPr>
          </w:p>
        </w:tc>
        <w:tc>
          <w:tcPr>
            <w:tcW w:w="7320" w:type="dxa"/>
            <w:vAlign w:val="center"/>
          </w:tcPr>
          <w:p>
            <w:pPr>
              <w:numPr>
                <w:ilvl w:val="0"/>
                <w:numId w:val="0"/>
              </w:numPr>
              <w:spacing w:line="360" w:lineRule="exact"/>
              <w:jc w:val="both"/>
              <w:rPr>
                <w:rFonts w:hint="eastAsia" w:asciiTheme="minorEastAsia" w:hAnsiTheme="minorEastAsia" w:eastAsiaTheme="minorEastAsia" w:cstheme="minorEastAsia"/>
                <w:b/>
                <w:bCs/>
                <w:color w:val="auto"/>
                <w:szCs w:val="21"/>
                <w:u w:val="none"/>
                <w:shd w:val="clear" w:color="auto" w:fill="auto"/>
                <w:lang w:val="en-US" w:eastAsia="zh-CN"/>
              </w:rPr>
            </w:pPr>
            <w:r>
              <w:rPr>
                <w:rFonts w:hint="eastAsia" w:asciiTheme="minorEastAsia" w:hAnsiTheme="minorEastAsia" w:eastAsiaTheme="minorEastAsia" w:cstheme="minorEastAsia"/>
                <w:b/>
                <w:bCs/>
                <w:color w:val="auto"/>
                <w:szCs w:val="21"/>
                <w:u w:val="none"/>
                <w:shd w:val="clear" w:color="auto" w:fill="auto"/>
                <w:lang w:val="en-US" w:eastAsia="zh-CN"/>
              </w:rPr>
              <w:t>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第二十三条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第二十三条</w:t>
            </w:r>
            <w:r>
              <w:rPr>
                <w:rFonts w:hint="eastAsia" w:asciiTheme="minorEastAsia" w:hAnsiTheme="minorEastAsia" w:cstheme="minorEastAsia"/>
                <w:color w:val="auto"/>
                <w:szCs w:val="21"/>
                <w:shd w:val="clear"/>
                <w:lang w:val="en-US" w:eastAsia="zh-CN"/>
              </w:rPr>
              <w:t xml:space="preserve"> </w:t>
            </w:r>
            <w:r>
              <w:rPr>
                <w:rFonts w:hint="eastAsia" w:asciiTheme="minorEastAsia" w:hAnsiTheme="minorEastAsia" w:eastAsiaTheme="minorEastAsia" w:cstheme="minorEastAsia"/>
                <w:color w:val="auto"/>
                <w:szCs w:val="21"/>
                <w:shd w:val="clear" w:color="auto" w:fill="FFFFFF"/>
                <w:lang w:val="en-US" w:eastAsia="zh-CN"/>
              </w:rPr>
              <w:t>惩戒措施自失信信息公开有效期满，</w:t>
            </w:r>
            <w:r>
              <w:rPr>
                <w:rFonts w:hint="eastAsia" w:asciiTheme="minorEastAsia" w:hAnsiTheme="minorEastAsia" w:eastAsiaTheme="minorEastAsia" w:cstheme="minorEastAsia"/>
                <w:color w:val="auto"/>
                <w:szCs w:val="21"/>
                <w:u w:val="single"/>
                <w:shd w:val="clear" w:color="auto" w:fill="FFFFFF"/>
                <w:lang w:val="en-US" w:eastAsia="zh-CN"/>
              </w:rPr>
              <w:t>或依法依规撤销时起终止。</w:t>
            </w:r>
          </w:p>
        </w:tc>
        <w:tc>
          <w:tcPr>
            <w:tcW w:w="732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b/>
                <w:bCs/>
                <w:color w:val="auto"/>
                <w:szCs w:val="21"/>
                <w:u w:val="none"/>
                <w:shd w:val="clear" w:color="auto" w:fill="auto"/>
                <w:lang w:val="en-US" w:eastAsia="zh-CN"/>
              </w:rPr>
            </w:pPr>
            <w:r>
              <w:rPr>
                <w:rFonts w:hint="eastAsia" w:asciiTheme="minorEastAsia" w:hAnsiTheme="minorEastAsia" w:eastAsiaTheme="minorEastAsia" w:cstheme="minorEastAsia"/>
                <w:color w:val="auto"/>
                <w:szCs w:val="21"/>
                <w:shd w:val="clear" w:color="auto" w:fill="FFFFFF"/>
                <w:lang w:val="en-US" w:eastAsia="zh-CN"/>
              </w:rPr>
              <w:t>第二十一条 奖励措施自行政监督管理部门奖励信息公开有效期满</w:t>
            </w:r>
            <w:r>
              <w:rPr>
                <w:rFonts w:hint="eastAsia" w:asciiTheme="minorEastAsia" w:hAnsiTheme="minorEastAsia" w:eastAsiaTheme="minorEastAsia" w:cstheme="minorEastAsia"/>
                <w:color w:val="auto"/>
                <w:szCs w:val="21"/>
                <w:u w:val="none"/>
                <w:shd w:val="clear" w:color="auto" w:fill="auto"/>
                <w:lang w:val="en-US" w:eastAsia="zh-CN"/>
              </w:rPr>
              <w:t>，</w:t>
            </w:r>
            <w:r>
              <w:rPr>
                <w:rFonts w:hint="eastAsia" w:asciiTheme="minorEastAsia" w:hAnsiTheme="minorEastAsia" w:eastAsiaTheme="minorEastAsia" w:cstheme="minorEastAsia"/>
                <w:b/>
                <w:bCs/>
                <w:color w:val="auto"/>
                <w:szCs w:val="21"/>
                <w:u w:val="none"/>
                <w:shd w:val="clear" w:color="auto" w:fill="auto"/>
                <w:lang w:val="en-US" w:eastAsia="zh-CN"/>
              </w:rPr>
              <w:t>或当事人在奖励信息公开有效期内但有第八条规定情形的立即终止。</w:t>
            </w:r>
          </w:p>
          <w:p>
            <w:pPr>
              <w:numPr>
                <w:ilvl w:val="0"/>
                <w:numId w:val="0"/>
              </w:numPr>
              <w:spacing w:line="360" w:lineRule="exact"/>
              <w:ind w:firstLine="422"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b/>
                <w:bCs/>
                <w:color w:val="auto"/>
                <w:szCs w:val="21"/>
                <w:u w:val="none"/>
                <w:shd w:val="clear" w:color="auto" w:fill="auto"/>
                <w:lang w:val="en-US" w:eastAsia="zh-CN"/>
              </w:rPr>
              <w:t>惩戒措施自失信信息公开有效期满，或依法依规撤销时起终止。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第二十四条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第二十四条</w:t>
            </w:r>
            <w:r>
              <w:rPr>
                <w:rFonts w:hint="eastAsia" w:asciiTheme="minorEastAsia" w:hAnsiTheme="minorEastAsia" w:cstheme="minorEastAsia"/>
                <w:color w:val="auto"/>
                <w:szCs w:val="21"/>
                <w:shd w:val="clear"/>
                <w:lang w:val="en-US" w:eastAsia="zh-CN"/>
              </w:rPr>
              <w:t xml:space="preserve"> </w:t>
            </w:r>
            <w:r>
              <w:rPr>
                <w:rFonts w:hint="eastAsia" w:asciiTheme="minorEastAsia" w:hAnsiTheme="minorEastAsia" w:eastAsiaTheme="minorEastAsia" w:cstheme="minorEastAsia"/>
                <w:color w:val="auto"/>
                <w:szCs w:val="21"/>
                <w:shd w:val="clear" w:color="auto" w:fill="FFFFFF"/>
                <w:lang w:val="en-US" w:eastAsia="zh-CN"/>
              </w:rPr>
              <w:t>对在公共资源交易活动中产生惩戒信息的当事人，各级行政监督管理部门及有关行政部门</w:t>
            </w:r>
            <w:r>
              <w:rPr>
                <w:rFonts w:hint="eastAsia" w:asciiTheme="minorEastAsia" w:hAnsiTheme="minorEastAsia" w:eastAsiaTheme="minorEastAsia" w:cstheme="minorEastAsia"/>
                <w:strike/>
                <w:color w:val="auto"/>
                <w:szCs w:val="21"/>
                <w:shd w:val="clear" w:color="auto" w:fill="FFFFFF"/>
                <w:lang w:val="en-US" w:eastAsia="zh-CN"/>
              </w:rPr>
              <w:t>在税收、市场监管、融资授信、土地出让划拨、检验检疫、海关认证、政府性资金支持、企业债券发行、荣誉资质评定、关税配额申请等领域依法</w:t>
            </w:r>
            <w:r>
              <w:rPr>
                <w:rFonts w:hint="eastAsia" w:asciiTheme="minorEastAsia" w:hAnsiTheme="minorEastAsia" w:eastAsiaTheme="minorEastAsia" w:cstheme="minorEastAsia"/>
                <w:color w:val="auto"/>
                <w:szCs w:val="21"/>
                <w:shd w:val="clear" w:color="auto" w:fill="FFFFFF"/>
                <w:lang w:val="en-US" w:eastAsia="zh-CN"/>
              </w:rPr>
              <w:t>实施联合惩戒。</w:t>
            </w:r>
          </w:p>
        </w:tc>
        <w:tc>
          <w:tcPr>
            <w:tcW w:w="732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color="auto" w:fill="FFFFFF"/>
                <w:lang w:val="en-US" w:eastAsia="zh-CN"/>
              </w:rPr>
              <w:t>第二十二条 对在公共资源交易活动中产生惩戒信息的当事人，各级行政监督管理部门及有关行政部门</w:t>
            </w:r>
            <w:r>
              <w:rPr>
                <w:rFonts w:hint="eastAsia" w:asciiTheme="minorEastAsia" w:hAnsiTheme="minorEastAsia" w:eastAsiaTheme="minorEastAsia" w:cstheme="minorEastAsia"/>
                <w:b/>
                <w:bCs/>
                <w:color w:val="auto"/>
                <w:szCs w:val="21"/>
                <w:u w:val="none"/>
                <w:shd w:val="clear" w:color="auto" w:fill="auto"/>
                <w:lang w:val="en-US" w:eastAsia="zh-CN"/>
              </w:rPr>
              <w:t>依法依规</w:t>
            </w:r>
            <w:r>
              <w:rPr>
                <w:rFonts w:hint="eastAsia" w:asciiTheme="minorEastAsia" w:hAnsiTheme="minorEastAsia" w:eastAsiaTheme="minorEastAsia" w:cstheme="minorEastAsia"/>
                <w:color w:val="auto"/>
                <w:szCs w:val="21"/>
                <w:shd w:val="clear" w:color="auto" w:fill="FFFFFF"/>
                <w:lang w:val="en-US" w:eastAsia="zh-CN"/>
              </w:rPr>
              <w:t>实施联合惩戒。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4879" w:type="dxa"/>
            <w:gridSpan w:val="3"/>
            <w:vAlign w:val="center"/>
          </w:tcPr>
          <w:p>
            <w:pPr>
              <w:numPr>
                <w:ilvl w:val="0"/>
                <w:numId w:val="0"/>
              </w:numPr>
              <w:spacing w:line="360" w:lineRule="exact"/>
              <w:jc w:val="center"/>
              <w:rPr>
                <w:rFonts w:hint="default" w:asciiTheme="minorEastAsia" w:hAnsiTheme="minorEastAsia" w:eastAsiaTheme="minorEastAsia" w:cstheme="minorEastAsia"/>
                <w:color w:val="auto"/>
                <w:sz w:val="21"/>
                <w:szCs w:val="21"/>
                <w:shd w:val="clear" w:color="auto" w:fill="FFFFFF"/>
                <w:lang w:val="en-US"/>
              </w:rPr>
            </w:pPr>
            <w:r>
              <w:rPr>
                <w:rFonts w:hint="eastAsia" w:asciiTheme="minorEastAsia" w:hAnsiTheme="minorEastAsia" w:eastAsiaTheme="minorEastAsia" w:cstheme="minorEastAsia"/>
                <w:color w:val="auto"/>
                <w:sz w:val="21"/>
                <w:szCs w:val="21"/>
                <w:lang w:val="en-US" w:eastAsia="zh-CN"/>
              </w:rPr>
              <w:t>第五章</w:t>
            </w:r>
            <w:r>
              <w:rPr>
                <w:rFonts w:hint="eastAsia" w:asciiTheme="minorEastAsia" w:hAnsiTheme="minorEastAsia" w:cstheme="minorEastAsia"/>
                <w:color w:val="auto"/>
                <w:sz w:val="21"/>
                <w:szCs w:val="21"/>
                <w:lang w:val="en-US" w:eastAsia="zh-CN"/>
              </w:rPr>
              <w:t xml:space="preserve">  监督管理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第二十五条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第二十五条</w:t>
            </w:r>
            <w:r>
              <w:rPr>
                <w:rFonts w:hint="eastAsia" w:asciiTheme="minorEastAsia" w:hAnsiTheme="minorEastAsia" w:cstheme="minorEastAsia"/>
                <w:color w:val="auto"/>
                <w:szCs w:val="21"/>
                <w:shd w:val="clear"/>
                <w:lang w:val="en-US" w:eastAsia="zh-CN"/>
              </w:rPr>
              <w:t xml:space="preserve"> </w:t>
            </w:r>
            <w:r>
              <w:rPr>
                <w:rFonts w:hint="eastAsia" w:asciiTheme="minorEastAsia" w:hAnsiTheme="minorEastAsia" w:eastAsiaTheme="minorEastAsia" w:cstheme="minorEastAsia"/>
                <w:color w:val="auto"/>
                <w:szCs w:val="21"/>
                <w:shd w:val="clear" w:color="auto" w:fill="FFFFFF"/>
                <w:lang w:val="en-US" w:eastAsia="zh-CN"/>
              </w:rPr>
              <w:t>各级公共资源交易综合管理部门会同相关行政监督管理部门，加强对公共资源交易信用信息的归集、公开、共享和应用等的指导和检查督促，健全完善相关制度机制，保障公共资源交易信用信息得到及时、准确的公开共享。</w:t>
            </w:r>
          </w:p>
        </w:tc>
        <w:tc>
          <w:tcPr>
            <w:tcW w:w="732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cstheme="minorEastAsia"/>
                <w:color w:val="auto"/>
                <w:szCs w:val="21"/>
                <w:shd w:val="clear" w:color="auto" w:fill="FFFFFF"/>
                <w:lang w:val="en-US" w:eastAsia="zh-CN"/>
              </w:rPr>
              <w:t xml:space="preserve">第二十三条 </w:t>
            </w:r>
            <w:r>
              <w:rPr>
                <w:rFonts w:hint="eastAsia" w:asciiTheme="minorEastAsia" w:hAnsiTheme="minorEastAsia" w:eastAsiaTheme="minorEastAsia" w:cstheme="minorEastAsia"/>
                <w:color w:val="auto"/>
                <w:szCs w:val="21"/>
                <w:shd w:val="clear" w:color="auto" w:fill="FFFFFF"/>
                <w:lang w:val="en-US" w:eastAsia="zh-CN"/>
              </w:rPr>
              <w:t>各级公共资源交易综合管理部门会同相关行政监督管理部门，加强对公共资源交易信用信息的归集、公开、共享和应用等的指导和检查督促，健全完善相关制度机制，保障公共资源交易信用信息得到及时、准确的公开共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第二十六条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第二十六条</w:t>
            </w:r>
            <w:r>
              <w:rPr>
                <w:rFonts w:hint="eastAsia" w:asciiTheme="minorEastAsia" w:hAnsiTheme="minorEastAsia" w:cstheme="minorEastAsia"/>
                <w:color w:val="auto"/>
                <w:szCs w:val="21"/>
                <w:shd w:val="clear"/>
                <w:lang w:val="en-US" w:eastAsia="zh-CN"/>
              </w:rPr>
              <w:t xml:space="preserve"> </w:t>
            </w:r>
            <w:r>
              <w:rPr>
                <w:rFonts w:hint="eastAsia" w:asciiTheme="minorEastAsia" w:hAnsiTheme="minorEastAsia" w:eastAsiaTheme="minorEastAsia" w:cstheme="minorEastAsia"/>
                <w:color w:val="auto"/>
                <w:szCs w:val="21"/>
                <w:shd w:val="clear" w:color="auto" w:fill="FFFFFF"/>
                <w:lang w:val="en-US" w:eastAsia="zh-CN"/>
              </w:rPr>
              <w:t>相关行政监督管理部门和授权管理机构、公共资源交易平台运行服务机构，未按要求对公共资源交易信用信息进行记录和公开共享的，由同级公共资源交易综合管理部门进行督促，限期整改。拒不整改的，进行通报；情节严重的，提请同级监察机关进行处理。</w:t>
            </w:r>
          </w:p>
        </w:tc>
        <w:tc>
          <w:tcPr>
            <w:tcW w:w="732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cstheme="minorEastAsia"/>
                <w:color w:val="auto"/>
                <w:szCs w:val="21"/>
                <w:shd w:val="clear" w:color="auto" w:fill="FFFFFF"/>
                <w:lang w:val="en-US" w:eastAsia="zh-CN"/>
              </w:rPr>
              <w:t xml:space="preserve">第二十四条 </w:t>
            </w:r>
            <w:r>
              <w:rPr>
                <w:rFonts w:hint="eastAsia" w:asciiTheme="minorEastAsia" w:hAnsiTheme="minorEastAsia" w:eastAsiaTheme="minorEastAsia" w:cstheme="minorEastAsia"/>
                <w:color w:val="auto"/>
                <w:szCs w:val="21"/>
                <w:shd w:val="clear" w:color="auto" w:fill="FFFFFF"/>
                <w:lang w:val="en-US" w:eastAsia="zh-CN"/>
              </w:rPr>
              <w:t>相关行政监督管理部门和授权管理机构、公共资源交易平台运行服务机构，未按要求对公共资源交易信用信息进行记录和公开共享的，由同级公共资源交易综合管理部门进行督促，限期整改。拒不整改的，进行通报；情节严重的，提请同级监察机关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spacing w:line="300" w:lineRule="exact"/>
              <w:jc w:val="center"/>
              <w:rPr>
                <w:rFonts w:hint="eastAsia" w:asciiTheme="minorEastAsia" w:hAnsiTheme="minorEastAsia" w:eastAsiaTheme="minorEastAsia" w:cstheme="minorEastAsia"/>
                <w:color w:val="auto"/>
                <w:szCs w:val="21"/>
                <w:shd w:val="clear"/>
                <w:lang w:val="en-US" w:eastAsia="zh-CN"/>
              </w:rPr>
            </w:pPr>
            <w:r>
              <w:rPr>
                <w:rFonts w:hint="eastAsia" w:ascii="黑体" w:hAnsi="黑体" w:eastAsia="黑体" w:cs="黑体"/>
                <w:b w:val="0"/>
                <w:bCs/>
                <w:color w:val="auto"/>
                <w:sz w:val="28"/>
                <w:szCs w:val="28"/>
              </w:rPr>
              <w:t>序</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号</w:t>
            </w:r>
          </w:p>
        </w:tc>
        <w:tc>
          <w:tcPr>
            <w:tcW w:w="6240" w:type="dxa"/>
            <w:vAlign w:val="center"/>
          </w:tcPr>
          <w:p>
            <w:pPr>
              <w:spacing w:line="30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黑体" w:hAnsi="黑体" w:eastAsia="黑体" w:cs="黑体"/>
                <w:b w:val="0"/>
                <w:bCs/>
                <w:color w:val="auto"/>
                <w:sz w:val="28"/>
                <w:szCs w:val="28"/>
                <w:lang w:eastAsia="zh-CN"/>
              </w:rPr>
              <w:t>现行规定</w:t>
            </w:r>
          </w:p>
        </w:tc>
        <w:tc>
          <w:tcPr>
            <w:tcW w:w="7320" w:type="dxa"/>
            <w:vAlign w:val="center"/>
          </w:tcPr>
          <w:p>
            <w:pPr>
              <w:spacing w:line="30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黑体" w:hAnsi="黑体" w:eastAsia="黑体" w:cs="黑体"/>
                <w:b w:val="0"/>
                <w:bCs/>
                <w:color w:val="auto"/>
                <w:sz w:val="28"/>
                <w:szCs w:val="28"/>
              </w:rPr>
              <w:t>修改后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第二十七条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 xml:space="preserve">第二十七条 </w:t>
            </w:r>
            <w:r>
              <w:rPr>
                <w:rFonts w:hint="eastAsia" w:asciiTheme="minorEastAsia" w:hAnsiTheme="minorEastAsia" w:eastAsiaTheme="minorEastAsia" w:cstheme="minorEastAsia"/>
                <w:color w:val="auto"/>
                <w:szCs w:val="21"/>
                <w:shd w:val="clear" w:color="auto" w:fill="FFFFFF"/>
                <w:lang w:val="en-US" w:eastAsia="zh-CN"/>
              </w:rPr>
              <w:t>任何单位和个人发现</w:t>
            </w:r>
            <w:r>
              <w:rPr>
                <w:rFonts w:hint="eastAsia" w:asciiTheme="minorEastAsia" w:hAnsiTheme="minorEastAsia" w:eastAsiaTheme="minorEastAsia" w:cstheme="minorEastAsia"/>
                <w:color w:val="auto"/>
                <w:szCs w:val="21"/>
                <w:u w:val="single"/>
                <w:shd w:val="clear" w:color="auto" w:fill="FFFFFF"/>
                <w:lang w:val="en-US" w:eastAsia="zh-CN"/>
              </w:rPr>
              <w:t>公共资源交易电子服务系统</w:t>
            </w:r>
            <w:r>
              <w:rPr>
                <w:rFonts w:hint="eastAsia" w:asciiTheme="minorEastAsia" w:hAnsiTheme="minorEastAsia" w:eastAsiaTheme="minorEastAsia" w:cstheme="minorEastAsia"/>
                <w:color w:val="auto"/>
                <w:szCs w:val="21"/>
                <w:shd w:val="clear" w:color="auto" w:fill="FFFFFF"/>
                <w:lang w:val="en-US" w:eastAsia="zh-CN"/>
              </w:rPr>
              <w:t>公开的公共资源交易信用信息失实或虚假的，可以向公共资源交易平台运行服务机构反映，或直接向有关行政监督管理部门反映。经调查核实反映情况属实的，应如实纠正信息并公告调查处理结果。</w:t>
            </w:r>
          </w:p>
        </w:tc>
        <w:tc>
          <w:tcPr>
            <w:tcW w:w="732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color="auto" w:fill="FFFFFF"/>
                <w:lang w:val="en-US" w:eastAsia="zh-CN"/>
              </w:rPr>
              <w:t>第二十五条 任何单位和个人发现</w:t>
            </w:r>
            <w:r>
              <w:rPr>
                <w:rFonts w:hint="eastAsia" w:asciiTheme="minorEastAsia" w:hAnsiTheme="minorEastAsia" w:eastAsiaTheme="minorEastAsia" w:cstheme="minorEastAsia"/>
                <w:b/>
                <w:bCs/>
                <w:color w:val="auto"/>
                <w:szCs w:val="21"/>
                <w:u w:val="none"/>
                <w:shd w:val="clear" w:color="auto" w:fill="auto"/>
                <w:lang w:val="en-US" w:eastAsia="zh-CN"/>
              </w:rPr>
              <w:t>公共资源交易平台电子服务系统</w:t>
            </w:r>
            <w:r>
              <w:rPr>
                <w:rFonts w:hint="eastAsia" w:asciiTheme="minorEastAsia" w:hAnsiTheme="minorEastAsia" w:eastAsiaTheme="minorEastAsia" w:cstheme="minorEastAsia"/>
                <w:color w:val="auto"/>
                <w:szCs w:val="21"/>
                <w:shd w:val="clear" w:color="auto" w:fill="FFFFFF"/>
                <w:lang w:val="en-US" w:eastAsia="zh-CN"/>
              </w:rPr>
              <w:t>公开的公共资源交易信用信息失实或虚假的，可以向公共资源交易平台运行服务机构反映，或直接向有关行政监督管理部门反映。经调查核实反映情况属实的，应如实纠正信息并公告调查处理结果。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6"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第二十八条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 xml:space="preserve">第二十八条 </w:t>
            </w:r>
            <w:r>
              <w:rPr>
                <w:rFonts w:hint="eastAsia" w:asciiTheme="minorEastAsia" w:hAnsiTheme="minorEastAsia" w:eastAsiaTheme="minorEastAsia" w:cstheme="minorEastAsia"/>
                <w:color w:val="auto"/>
                <w:szCs w:val="21"/>
                <w:shd w:val="clear" w:color="auto" w:fill="FFFFFF"/>
                <w:lang w:val="en-US" w:eastAsia="zh-CN"/>
              </w:rPr>
              <w:t>公民、法人和其他组织发现行政监督管理部门及其工作人员在公共资源交易信用管理活动中不依法履行义务，或者在信用管理活动中侵犯其合法权益等违法行为，可以要求其依法予以纠正，或向其上级部门反映。</w:t>
            </w:r>
          </w:p>
        </w:tc>
        <w:tc>
          <w:tcPr>
            <w:tcW w:w="732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第二十</w:t>
            </w:r>
            <w:r>
              <w:rPr>
                <w:rFonts w:hint="eastAsia" w:asciiTheme="minorEastAsia" w:hAnsiTheme="minorEastAsia" w:cstheme="minorEastAsia"/>
                <w:color w:val="auto"/>
                <w:szCs w:val="21"/>
                <w:shd w:val="clear"/>
                <w:lang w:val="en-US" w:eastAsia="zh-CN"/>
              </w:rPr>
              <w:t>六</w:t>
            </w:r>
            <w:r>
              <w:rPr>
                <w:rFonts w:hint="eastAsia" w:asciiTheme="minorEastAsia" w:hAnsiTheme="minorEastAsia" w:eastAsiaTheme="minorEastAsia" w:cstheme="minorEastAsia"/>
                <w:color w:val="auto"/>
                <w:szCs w:val="21"/>
                <w:shd w:val="clear"/>
                <w:lang w:val="en-US" w:eastAsia="zh-CN"/>
              </w:rPr>
              <w:t xml:space="preserve">条 </w:t>
            </w:r>
            <w:r>
              <w:rPr>
                <w:rFonts w:hint="eastAsia" w:asciiTheme="minorEastAsia" w:hAnsiTheme="minorEastAsia" w:eastAsiaTheme="minorEastAsia" w:cstheme="minorEastAsia"/>
                <w:color w:val="auto"/>
                <w:szCs w:val="21"/>
                <w:shd w:val="clear" w:color="auto" w:fill="FFFFFF"/>
                <w:lang w:val="en-US" w:eastAsia="zh-CN"/>
              </w:rPr>
              <w:t>公民、法人和其他组织发现行政监督管理部门及其工作人员在公共资源交易信用管理活动中不依法履行义务，或者在信用管理活动中侵犯其合法权益等违法行为，可以要求其依法予以纠正，或向其上级部门反映。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0"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第二十九条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第二十九条</w:t>
            </w:r>
            <w:r>
              <w:rPr>
                <w:rFonts w:hint="eastAsia" w:asciiTheme="minorEastAsia" w:hAnsiTheme="minorEastAsia" w:cstheme="minorEastAsia"/>
                <w:color w:val="auto"/>
                <w:szCs w:val="21"/>
                <w:shd w:val="clear"/>
                <w:lang w:val="en-US" w:eastAsia="zh-CN"/>
              </w:rPr>
              <w:t xml:space="preserve"> </w:t>
            </w:r>
            <w:r>
              <w:rPr>
                <w:rFonts w:hint="eastAsia" w:asciiTheme="minorEastAsia" w:hAnsiTheme="minorEastAsia" w:eastAsiaTheme="minorEastAsia" w:cstheme="minorEastAsia"/>
                <w:color w:val="auto"/>
                <w:szCs w:val="21"/>
                <w:shd w:val="clear" w:color="auto" w:fill="FFFFFF"/>
                <w:lang w:val="en-US" w:eastAsia="zh-CN"/>
              </w:rPr>
              <w:t>公共资源交易活动当事人或利害关系人认为公开的信用信息与事实不符的，可以书面形式向公共资源交易平台运行服务机构提出异议申请。公共资源交易平台运行服务机构应当自收到异议申请之日起2个工作日内将异议申请转至信息提供主体。信息提供主体应当在收到转来的异议申请之日起5个工作日内核实并提出处理意见，告知异议提出人。相关信息与事实确实不符的，信息提供主体应当及时更正并进行公告。</w:t>
            </w:r>
          </w:p>
        </w:tc>
        <w:tc>
          <w:tcPr>
            <w:tcW w:w="7320" w:type="dxa"/>
            <w:vAlign w:val="center"/>
          </w:tcPr>
          <w:p>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20" w:firstLineChars="200"/>
              <w:textAlignment w:val="auto"/>
              <w:rPr>
                <w:rFonts w:hint="eastAsia" w:asciiTheme="minorEastAsia" w:hAnsiTheme="minorEastAsia" w:eastAsiaTheme="minorEastAsia" w:cstheme="minorEastAsia"/>
                <w:color w:val="auto"/>
                <w:sz w:val="21"/>
                <w:szCs w:val="21"/>
                <w:shd w:val="clear" w:color="auto" w:fill="FFFFFF"/>
              </w:rPr>
            </w:pPr>
            <w:r>
              <w:rPr>
                <w:rFonts w:hint="eastAsia" w:asciiTheme="minorEastAsia" w:hAnsiTheme="minorEastAsia" w:eastAsiaTheme="minorEastAsia" w:cstheme="minorEastAsia"/>
                <w:color w:val="auto"/>
                <w:szCs w:val="21"/>
                <w:shd w:val="clear" w:color="auto" w:fill="FFFFFF"/>
                <w:lang w:val="en-US" w:eastAsia="zh-CN"/>
              </w:rPr>
              <w:t xml:space="preserve">第二十七条 </w:t>
            </w:r>
            <w:r>
              <w:rPr>
                <w:rFonts w:hint="eastAsia" w:asciiTheme="minorEastAsia" w:hAnsiTheme="minorEastAsia" w:eastAsiaTheme="minorEastAsia" w:cstheme="minorEastAsia"/>
                <w:color w:val="auto"/>
                <w:sz w:val="21"/>
                <w:szCs w:val="21"/>
                <w:shd w:val="clear" w:color="auto" w:fill="FFFFFF"/>
              </w:rPr>
              <w:t>公共资源交易活动当事人认为公开的信用信息与事实不符的，可以书面形式向公共资源交易平台运行服务机构</w:t>
            </w:r>
            <w:r>
              <w:rPr>
                <w:rFonts w:hint="eastAsia" w:asciiTheme="minorEastAsia" w:hAnsiTheme="minorEastAsia" w:eastAsiaTheme="minorEastAsia" w:cstheme="minorEastAsia"/>
                <w:b/>
                <w:bCs/>
                <w:color w:val="auto"/>
                <w:sz w:val="21"/>
                <w:szCs w:val="21"/>
                <w:shd w:val="clear" w:color="auto" w:fill="FFFFFF"/>
                <w:lang w:eastAsia="zh-CN"/>
              </w:rPr>
              <w:t>或相关行政监督管理部门</w:t>
            </w:r>
            <w:r>
              <w:rPr>
                <w:rFonts w:hint="eastAsia" w:asciiTheme="minorEastAsia" w:hAnsiTheme="minorEastAsia" w:eastAsiaTheme="minorEastAsia" w:cstheme="minorEastAsia"/>
                <w:color w:val="auto"/>
                <w:sz w:val="21"/>
                <w:szCs w:val="21"/>
                <w:shd w:val="clear" w:color="auto" w:fill="FFFFFF"/>
              </w:rPr>
              <w:t>提出异议申请。公共资源交易平台运行服务机构</w:t>
            </w:r>
            <w:r>
              <w:rPr>
                <w:rFonts w:hint="eastAsia" w:asciiTheme="minorEastAsia" w:hAnsiTheme="minorEastAsia" w:eastAsiaTheme="minorEastAsia" w:cstheme="minorEastAsia"/>
                <w:b/>
                <w:bCs/>
                <w:color w:val="auto"/>
                <w:sz w:val="21"/>
                <w:szCs w:val="21"/>
                <w:shd w:val="clear" w:color="auto" w:fill="FFFFFF"/>
                <w:lang w:eastAsia="zh-CN"/>
              </w:rPr>
              <w:t>或相关行政监督管理部门</w:t>
            </w:r>
            <w:r>
              <w:rPr>
                <w:rFonts w:hint="eastAsia" w:asciiTheme="minorEastAsia" w:hAnsiTheme="minorEastAsia" w:eastAsiaTheme="minorEastAsia" w:cstheme="minorEastAsia"/>
                <w:color w:val="auto"/>
                <w:sz w:val="21"/>
                <w:szCs w:val="21"/>
                <w:shd w:val="clear" w:color="auto" w:fill="FFFFFF"/>
              </w:rPr>
              <w:t>应当自收到异议申请之日起2个工作日内将异议申请转至信息提供主体。信息提供主体应当在收到转来的异议申请之日起5个工作日内核实并提出处理意见，告知异议提出人。相关信息与事实确实不符的，信息提供主体应当及时更正并进行公告。</w:t>
            </w:r>
          </w:p>
          <w:p>
            <w:pPr>
              <w:numPr>
                <w:ilvl w:val="0"/>
                <w:numId w:val="0"/>
              </w:numPr>
              <w:spacing w:line="360" w:lineRule="exact"/>
              <w:ind w:firstLine="422"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b/>
                <w:bCs/>
                <w:color w:val="auto"/>
                <w:sz w:val="21"/>
                <w:szCs w:val="21"/>
                <w:shd w:val="clear" w:color="auto" w:fill="FFFFFF"/>
                <w:lang w:val="en-US" w:eastAsia="zh-CN"/>
              </w:rPr>
              <w:t>公共资源交易活动当事人对满足修复条件的失信行为，可按照有关规定申请修复。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4879" w:type="dxa"/>
            <w:gridSpan w:val="3"/>
            <w:vAlign w:val="center"/>
          </w:tcPr>
          <w:p>
            <w:pPr>
              <w:numPr>
                <w:ilvl w:val="0"/>
                <w:numId w:val="0"/>
              </w:numPr>
              <w:spacing w:line="360" w:lineRule="exact"/>
              <w:jc w:val="center"/>
              <w:rPr>
                <w:rFonts w:hint="default"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 w:val="21"/>
                <w:szCs w:val="21"/>
                <w:lang w:val="en-US" w:eastAsia="zh-CN"/>
              </w:rPr>
              <w:t>第六章</w:t>
            </w:r>
            <w:r>
              <w:rPr>
                <w:rFonts w:hint="eastAsia" w:asciiTheme="minorEastAsia" w:hAnsiTheme="minorEastAsia" w:cstheme="minorEastAsia"/>
                <w:color w:val="auto"/>
                <w:sz w:val="21"/>
                <w:szCs w:val="21"/>
                <w:lang w:val="en-US" w:eastAsia="zh-CN"/>
              </w:rPr>
              <w:t xml:space="preserve">  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第三十条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第三十条</w:t>
            </w:r>
            <w:r>
              <w:rPr>
                <w:rFonts w:hint="eastAsia" w:asciiTheme="minorEastAsia" w:hAnsiTheme="minorEastAsia" w:cstheme="minorEastAsia"/>
                <w:color w:val="auto"/>
                <w:szCs w:val="21"/>
                <w:shd w:val="clear"/>
                <w:lang w:val="en-US" w:eastAsia="zh-CN"/>
              </w:rPr>
              <w:t xml:space="preserve"> </w:t>
            </w:r>
            <w:r>
              <w:rPr>
                <w:rFonts w:hint="eastAsia" w:asciiTheme="minorEastAsia" w:hAnsiTheme="minorEastAsia" w:eastAsiaTheme="minorEastAsia" w:cstheme="minorEastAsia"/>
                <w:color w:val="auto"/>
                <w:szCs w:val="21"/>
                <w:shd w:val="clear" w:color="auto" w:fill="FFFFFF"/>
                <w:lang w:val="en-US" w:eastAsia="zh-CN"/>
              </w:rPr>
              <w:t>公共资源交易活动当事人提供虚假公共资源交易信</w:t>
            </w:r>
          </w:p>
        </w:tc>
        <w:tc>
          <w:tcPr>
            <w:tcW w:w="732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color="auto" w:fill="FFFFFF"/>
                <w:lang w:val="en-US" w:eastAsia="zh-CN"/>
              </w:rPr>
              <w:t>第二十八条 公共资源交易活动当事人提供虚假公共资源交易信用信息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319" w:type="dxa"/>
            <w:vAlign w:val="center"/>
          </w:tcPr>
          <w:p>
            <w:pPr>
              <w:spacing w:line="300" w:lineRule="exact"/>
              <w:jc w:val="center"/>
              <w:rPr>
                <w:rFonts w:hint="eastAsia" w:ascii="黑体" w:hAnsi="黑体" w:eastAsia="黑体" w:cs="黑体"/>
                <w:color w:val="auto"/>
                <w:szCs w:val="21"/>
                <w:shd w:val="clear"/>
                <w:lang w:val="en-US" w:eastAsia="zh-CN"/>
              </w:rPr>
            </w:pPr>
            <w:r>
              <w:rPr>
                <w:rFonts w:hint="eastAsia" w:ascii="黑体" w:hAnsi="黑体" w:eastAsia="黑体" w:cs="黑体"/>
                <w:b w:val="0"/>
                <w:bCs/>
                <w:color w:val="auto"/>
                <w:sz w:val="28"/>
                <w:szCs w:val="28"/>
              </w:rPr>
              <w:t>序</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号</w:t>
            </w:r>
          </w:p>
        </w:tc>
        <w:tc>
          <w:tcPr>
            <w:tcW w:w="6240" w:type="dxa"/>
            <w:vAlign w:val="center"/>
          </w:tcPr>
          <w:p>
            <w:pPr>
              <w:spacing w:line="300" w:lineRule="exact"/>
              <w:jc w:val="center"/>
              <w:rPr>
                <w:rFonts w:hint="eastAsia" w:ascii="黑体" w:hAnsi="黑体" w:eastAsia="黑体" w:cs="黑体"/>
                <w:color w:val="auto"/>
                <w:szCs w:val="21"/>
                <w:shd w:val="clear"/>
                <w:lang w:val="en-US" w:eastAsia="zh-CN"/>
              </w:rPr>
            </w:pPr>
            <w:r>
              <w:rPr>
                <w:rFonts w:hint="eastAsia" w:ascii="黑体" w:hAnsi="黑体" w:eastAsia="黑体" w:cs="黑体"/>
                <w:b w:val="0"/>
                <w:bCs/>
                <w:color w:val="auto"/>
                <w:sz w:val="28"/>
                <w:szCs w:val="28"/>
                <w:lang w:eastAsia="zh-CN"/>
              </w:rPr>
              <w:t>现行规定</w:t>
            </w:r>
          </w:p>
        </w:tc>
        <w:tc>
          <w:tcPr>
            <w:tcW w:w="7320" w:type="dxa"/>
            <w:vAlign w:val="center"/>
          </w:tcPr>
          <w:p>
            <w:pPr>
              <w:spacing w:line="300" w:lineRule="exact"/>
              <w:jc w:val="center"/>
              <w:rPr>
                <w:rFonts w:hint="eastAsia" w:ascii="黑体" w:hAnsi="黑体" w:eastAsia="黑体" w:cs="黑体"/>
                <w:color w:val="auto"/>
                <w:szCs w:val="21"/>
                <w:shd w:val="clear"/>
                <w:lang w:val="en-US" w:eastAsia="zh-CN"/>
              </w:rPr>
            </w:pPr>
            <w:r>
              <w:rPr>
                <w:rFonts w:hint="eastAsia" w:ascii="黑体" w:hAnsi="黑体" w:eastAsia="黑体" w:cs="黑体"/>
                <w:b w:val="0"/>
                <w:bCs/>
                <w:color w:val="auto"/>
                <w:sz w:val="28"/>
                <w:szCs w:val="28"/>
              </w:rPr>
              <w:t>修改后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lang w:val="en-US" w:eastAsia="zh-CN"/>
              </w:rPr>
            </w:pPr>
          </w:p>
        </w:tc>
        <w:tc>
          <w:tcPr>
            <w:tcW w:w="6240" w:type="dxa"/>
            <w:vAlign w:val="center"/>
          </w:tcPr>
          <w:p>
            <w:pPr>
              <w:numPr>
                <w:ilvl w:val="0"/>
                <w:numId w:val="0"/>
              </w:numPr>
              <w:spacing w:line="360" w:lineRule="exact"/>
              <w:jc w:val="both"/>
              <w:rPr>
                <w:rFonts w:hint="eastAsia" w:asciiTheme="minorEastAsia" w:hAnsiTheme="minorEastAsia" w:eastAsiaTheme="minorEastAsia" w:cstheme="minorEastAsia"/>
                <w:color w:val="auto"/>
                <w:szCs w:val="21"/>
                <w:shd w:val="clear"/>
                <w:lang w:val="en-US" w:eastAsia="zh-CN"/>
              </w:rPr>
            </w:pPr>
            <w:r>
              <w:rPr>
                <w:rFonts w:hint="eastAsia" w:asciiTheme="minorEastAsia" w:hAnsiTheme="minorEastAsia" w:eastAsiaTheme="minorEastAsia" w:cstheme="minorEastAsia"/>
                <w:color w:val="auto"/>
                <w:szCs w:val="21"/>
                <w:shd w:val="clear" w:color="auto" w:fill="FFFFFF"/>
                <w:lang w:val="en-US" w:eastAsia="zh-CN"/>
              </w:rPr>
              <w:t>用信息的，由有关行政监督管理部门依照有关规定予以处理，处理信息通过</w:t>
            </w:r>
            <w:r>
              <w:rPr>
                <w:rFonts w:hint="eastAsia" w:asciiTheme="minorEastAsia" w:hAnsiTheme="minorEastAsia" w:eastAsiaTheme="minorEastAsia" w:cstheme="minorEastAsia"/>
                <w:color w:val="auto"/>
                <w:szCs w:val="21"/>
                <w:u w:val="single"/>
                <w:shd w:val="clear" w:color="auto" w:fill="FFFFFF"/>
                <w:lang w:val="en-US" w:eastAsia="zh-CN"/>
              </w:rPr>
              <w:t>公共资源交易电子服务系统</w:t>
            </w:r>
            <w:r>
              <w:rPr>
                <w:rFonts w:hint="eastAsia" w:asciiTheme="minorEastAsia" w:hAnsiTheme="minorEastAsia" w:eastAsiaTheme="minorEastAsia" w:cstheme="minorEastAsia"/>
                <w:color w:val="auto"/>
                <w:szCs w:val="21"/>
                <w:shd w:val="clear" w:color="auto" w:fill="FFFFFF"/>
                <w:lang w:val="en-US" w:eastAsia="zh-CN"/>
              </w:rPr>
              <w:t>向社会公开。涉嫌犯罪的，依法移送司法机关处理。</w:t>
            </w:r>
          </w:p>
        </w:tc>
        <w:tc>
          <w:tcPr>
            <w:tcW w:w="7320" w:type="dxa"/>
            <w:vAlign w:val="center"/>
          </w:tcPr>
          <w:p>
            <w:pPr>
              <w:numPr>
                <w:ilvl w:val="0"/>
                <w:numId w:val="0"/>
              </w:numPr>
              <w:spacing w:line="360" w:lineRule="exact"/>
              <w:jc w:val="both"/>
              <w:rPr>
                <w:rFonts w:hint="eastAsia" w:ascii="黑体" w:hAnsi="黑体" w:eastAsia="黑体" w:cs="黑体"/>
                <w:color w:val="auto"/>
                <w:szCs w:val="21"/>
                <w:shd w:val="clear"/>
                <w:lang w:val="en-US" w:eastAsia="zh-CN"/>
              </w:rPr>
            </w:pPr>
            <w:r>
              <w:rPr>
                <w:rFonts w:hint="eastAsia" w:asciiTheme="minorEastAsia" w:hAnsiTheme="minorEastAsia" w:eastAsiaTheme="minorEastAsia" w:cstheme="minorEastAsia"/>
                <w:color w:val="auto"/>
                <w:szCs w:val="21"/>
                <w:shd w:val="clear" w:color="auto" w:fill="FFFFFF"/>
                <w:lang w:val="en-US" w:eastAsia="zh-CN"/>
              </w:rPr>
              <w:t>的，由有关行政监督管理部门依照有关规定予以处理，处理信息通过</w:t>
            </w:r>
            <w:bookmarkStart w:id="0" w:name="_GoBack"/>
            <w:bookmarkEnd w:id="0"/>
            <w:r>
              <w:rPr>
                <w:rFonts w:hint="eastAsia" w:asciiTheme="minorEastAsia" w:hAnsiTheme="minorEastAsia" w:eastAsiaTheme="minorEastAsia" w:cstheme="minorEastAsia"/>
                <w:b/>
                <w:bCs/>
                <w:color w:val="auto"/>
                <w:szCs w:val="21"/>
                <w:u w:val="none"/>
                <w:shd w:val="clear" w:color="auto" w:fill="auto"/>
                <w:lang w:val="en-US" w:eastAsia="zh-CN"/>
              </w:rPr>
              <w:t>公共资源交易平台电子服务系统</w:t>
            </w:r>
            <w:r>
              <w:rPr>
                <w:rFonts w:hint="eastAsia" w:asciiTheme="minorEastAsia" w:hAnsiTheme="minorEastAsia" w:eastAsiaTheme="minorEastAsia" w:cstheme="minorEastAsia"/>
                <w:color w:val="auto"/>
                <w:szCs w:val="21"/>
                <w:shd w:val="clear" w:color="auto" w:fill="FFFFFF"/>
                <w:lang w:val="en-US" w:eastAsia="zh-CN"/>
              </w:rPr>
              <w:t>向社会公开。涉嫌犯罪的，依法移送司法机关处理。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5"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第三十一条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 xml:space="preserve">第三十一条 </w:t>
            </w:r>
            <w:r>
              <w:rPr>
                <w:rFonts w:hint="eastAsia" w:asciiTheme="minorEastAsia" w:hAnsiTheme="minorEastAsia" w:eastAsiaTheme="minorEastAsia" w:cstheme="minorEastAsia"/>
                <w:color w:val="auto"/>
                <w:szCs w:val="21"/>
                <w:shd w:val="clear" w:color="auto" w:fill="FFFFFF"/>
                <w:lang w:val="en-US" w:eastAsia="zh-CN"/>
              </w:rPr>
              <w:t>任何单位和个人滥用公共资源交易信用信息或将未公开的公共资源交易信用信息非法提供给第三方使用的，由其主管部门责令改正，并予以通报批评。涉嫌违纪违法的，依法追究直接责任人和有关领导的责任。涉嫌犯罪的，依法移送司法机关处理。</w:t>
            </w:r>
          </w:p>
        </w:tc>
        <w:tc>
          <w:tcPr>
            <w:tcW w:w="7320" w:type="dxa"/>
            <w:vAlign w:val="center"/>
          </w:tcPr>
          <w:p>
            <w:pPr>
              <w:numPr>
                <w:ilvl w:val="0"/>
                <w:numId w:val="0"/>
              </w:numPr>
              <w:spacing w:line="360" w:lineRule="exact"/>
              <w:ind w:firstLine="420" w:firstLineChars="200"/>
              <w:jc w:val="both"/>
              <w:rPr>
                <w:rFonts w:hint="eastAsia" w:ascii="Helvetica" w:hAnsi="Helvetica"/>
                <w:color w:val="auto"/>
                <w:szCs w:val="21"/>
                <w:shd w:val="clear" w:color="auto" w:fill="FFFFFF"/>
                <w:lang w:val="en-US" w:eastAsia="zh-CN"/>
              </w:rPr>
            </w:pPr>
            <w:r>
              <w:rPr>
                <w:rFonts w:hint="eastAsia" w:ascii="黑体" w:hAnsi="黑体" w:eastAsia="黑体" w:cs="黑体"/>
                <w:color w:val="auto"/>
                <w:szCs w:val="21"/>
                <w:shd w:val="clear"/>
                <w:lang w:val="en-US" w:eastAsia="zh-CN"/>
              </w:rPr>
              <w:t xml:space="preserve">第二十九条 </w:t>
            </w:r>
            <w:r>
              <w:rPr>
                <w:rFonts w:hint="eastAsia" w:ascii="Helvetica" w:hAnsi="Helvetica"/>
                <w:color w:val="auto"/>
                <w:szCs w:val="21"/>
                <w:shd w:val="clear" w:color="auto" w:fill="FFFFFF"/>
                <w:lang w:val="en-US" w:eastAsia="zh-CN"/>
              </w:rPr>
              <w:t>任何单位和个人滥用公共资源交易信用信息或将未公开的公共资源交易信用信息非法提供给第三方使用的，由其主管部门责令改正，并予以通报。涉嫌违纪违法的，依法追究直接责任人和有关领导的责任。涉嫌犯罪的，依法移送司法机关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5"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第三十二条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 xml:space="preserve">第三十二条 </w:t>
            </w:r>
            <w:r>
              <w:rPr>
                <w:rFonts w:hint="eastAsia" w:asciiTheme="minorEastAsia" w:hAnsiTheme="minorEastAsia" w:eastAsiaTheme="minorEastAsia" w:cstheme="minorEastAsia"/>
                <w:color w:val="auto"/>
                <w:szCs w:val="21"/>
                <w:shd w:val="clear" w:color="auto" w:fill="FFFFFF"/>
                <w:lang w:val="en-US" w:eastAsia="zh-CN"/>
              </w:rPr>
              <w:t>公共资源交易信用信息发布、维护、管理单位及其工作人员，在信用信息的归集、公开、共享和应用过程中存在弄虚作假、徇私舞弊的，由其主管部门责令改正，并予以通报批评。涉嫌违纪违法的，依法追究直接责任人和有关领导的责任。涉嫌犯罪的，依法移送司法机关处理。</w:t>
            </w:r>
          </w:p>
        </w:tc>
        <w:tc>
          <w:tcPr>
            <w:tcW w:w="7320" w:type="dxa"/>
            <w:vAlign w:val="center"/>
          </w:tcPr>
          <w:p>
            <w:pPr>
              <w:numPr>
                <w:ilvl w:val="0"/>
                <w:numId w:val="0"/>
              </w:numPr>
              <w:spacing w:line="360" w:lineRule="exact"/>
              <w:ind w:firstLine="420" w:firstLineChars="200"/>
              <w:jc w:val="both"/>
              <w:rPr>
                <w:rFonts w:hint="eastAsia" w:ascii="Helvetica" w:hAnsi="Helvetica"/>
                <w:color w:val="auto"/>
                <w:szCs w:val="21"/>
                <w:shd w:val="clear" w:color="auto" w:fill="FFFFFF"/>
                <w:lang w:val="en-US" w:eastAsia="zh-CN"/>
              </w:rPr>
            </w:pPr>
            <w:r>
              <w:rPr>
                <w:rFonts w:hint="eastAsia" w:ascii="黑体" w:hAnsi="黑体" w:eastAsia="黑体" w:cs="黑体"/>
                <w:color w:val="auto"/>
                <w:szCs w:val="21"/>
                <w:shd w:val="clear"/>
                <w:lang w:val="en-US" w:eastAsia="zh-CN"/>
              </w:rPr>
              <w:t xml:space="preserve">第三十条 </w:t>
            </w:r>
            <w:r>
              <w:rPr>
                <w:rFonts w:hint="eastAsia" w:ascii="Helvetica" w:hAnsi="Helvetica"/>
                <w:color w:val="auto"/>
                <w:szCs w:val="21"/>
                <w:shd w:val="clear" w:color="auto" w:fill="FFFFFF"/>
                <w:lang w:val="en-US" w:eastAsia="zh-CN"/>
              </w:rPr>
              <w:t>公共资源交易信用信息发布、维护、管理单位及其工作人员，在信用信息的归集、公开、共享和应用过程中存在弄虚作假、徇私舞弊的，由其主管部门责令改正，并予以通报。涉嫌违纪违法的，依法追究直接责任人和有关领导的责任。涉嫌犯罪的，依法移送司法机关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第三十三条</w:t>
            </w:r>
          </w:p>
        </w:tc>
        <w:tc>
          <w:tcPr>
            <w:tcW w:w="6240" w:type="dxa"/>
            <w:vAlign w:val="center"/>
          </w:tcPr>
          <w:p>
            <w:pPr>
              <w:numPr>
                <w:ilvl w:val="0"/>
                <w:numId w:val="0"/>
              </w:numPr>
              <w:spacing w:line="360" w:lineRule="exact"/>
              <w:ind w:firstLine="420" w:firstLineChars="200"/>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 xml:space="preserve">第三十三条 </w:t>
            </w:r>
            <w:r>
              <w:rPr>
                <w:rFonts w:hint="eastAsia" w:asciiTheme="minorEastAsia" w:hAnsiTheme="minorEastAsia" w:eastAsiaTheme="minorEastAsia" w:cstheme="minorEastAsia"/>
                <w:color w:val="auto"/>
                <w:szCs w:val="21"/>
                <w:shd w:val="clear" w:color="auto" w:fill="FFFFFF"/>
                <w:lang w:val="en-US" w:eastAsia="zh-CN"/>
              </w:rPr>
              <w:t>各级公共资源交易行政监督管理部门及其工作人员在公共资源交易信用信息的记录、公开、共享和应用等工作中弄虚作假、徇私舞弊的，由其所在单位或上级主管部门责令改正，并予以通报批评。涉嫌违纪违法的，依法追究直接责任人和有关领导的责任。涉嫌犯罪的，依法移送司法机关处理。</w:t>
            </w:r>
          </w:p>
        </w:tc>
        <w:tc>
          <w:tcPr>
            <w:tcW w:w="7320" w:type="dxa"/>
            <w:vAlign w:val="center"/>
          </w:tcPr>
          <w:p>
            <w:pPr>
              <w:numPr>
                <w:ilvl w:val="0"/>
                <w:numId w:val="0"/>
              </w:numPr>
              <w:spacing w:line="360" w:lineRule="exact"/>
              <w:ind w:firstLine="420" w:firstLineChars="200"/>
              <w:jc w:val="both"/>
              <w:rPr>
                <w:rFonts w:hint="eastAsia" w:ascii="Helvetica" w:hAnsi="Helvetica"/>
                <w:color w:val="auto"/>
                <w:szCs w:val="21"/>
                <w:shd w:val="clear" w:color="auto" w:fill="FFFFFF"/>
                <w:lang w:val="en-US" w:eastAsia="zh-CN"/>
              </w:rPr>
            </w:pPr>
            <w:r>
              <w:rPr>
                <w:rFonts w:hint="eastAsia" w:ascii="黑体" w:hAnsi="黑体" w:eastAsia="黑体" w:cs="黑体"/>
                <w:color w:val="auto"/>
                <w:szCs w:val="21"/>
                <w:shd w:val="clear"/>
                <w:lang w:val="en-US" w:eastAsia="zh-CN"/>
              </w:rPr>
              <w:t xml:space="preserve">第三十一条 </w:t>
            </w:r>
            <w:r>
              <w:rPr>
                <w:rFonts w:hint="eastAsia" w:ascii="Helvetica" w:hAnsi="Helvetica"/>
                <w:color w:val="auto"/>
                <w:szCs w:val="21"/>
                <w:shd w:val="clear" w:color="auto" w:fill="FFFFFF"/>
                <w:lang w:val="en-US" w:eastAsia="zh-CN"/>
              </w:rPr>
              <w:t>各级公共资源交易行政监督管理部门及其工作人员在公共资源交易信用信息的记录、公开、共享和应用等工作中弄虚作假、徇私舞弊的，由其所在单位或上级主管部门责令改正，并予以通报。涉嫌违纪违法的，依法追究直接责任人和有关领导的责任。涉嫌犯罪的，依法移送司法机关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trPr>
        <w:tc>
          <w:tcPr>
            <w:tcW w:w="14879" w:type="dxa"/>
            <w:gridSpan w:val="3"/>
            <w:vAlign w:val="center"/>
          </w:tcPr>
          <w:p>
            <w:pPr>
              <w:numPr>
                <w:ilvl w:val="0"/>
                <w:numId w:val="0"/>
              </w:numPr>
              <w:spacing w:line="360" w:lineRule="exact"/>
              <w:jc w:val="center"/>
              <w:rPr>
                <w:rFonts w:hint="default"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 w:val="21"/>
                <w:szCs w:val="21"/>
                <w:lang w:val="en-US" w:eastAsia="zh-CN"/>
              </w:rPr>
              <w:t>第七章</w:t>
            </w:r>
            <w:r>
              <w:rPr>
                <w:rFonts w:hint="eastAsia" w:asciiTheme="minorEastAsia" w:hAnsiTheme="minorEastAsia" w:cstheme="minorEastAsia"/>
                <w:color w:val="auto"/>
                <w:sz w:val="21"/>
                <w:szCs w:val="21"/>
                <w:lang w:val="en-US" w:eastAsia="zh-CN"/>
              </w:rPr>
              <w:t xml:space="preserve">  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319" w:type="dxa"/>
            <w:vAlign w:val="center"/>
          </w:tcPr>
          <w:p>
            <w:pPr>
              <w:numPr>
                <w:ilvl w:val="0"/>
                <w:numId w:val="0"/>
              </w:numPr>
              <w:spacing w:line="360" w:lineRule="exact"/>
              <w:jc w:val="center"/>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Cs w:val="21"/>
                <w:shd w:val="clear"/>
                <w:lang w:val="en-US" w:eastAsia="zh-CN"/>
              </w:rPr>
              <w:t>第三十四条</w:t>
            </w:r>
          </w:p>
        </w:tc>
        <w:tc>
          <w:tcPr>
            <w:tcW w:w="6240" w:type="dxa"/>
            <w:vAlign w:val="center"/>
          </w:tcPr>
          <w:p>
            <w:pPr>
              <w:numPr>
                <w:ilvl w:val="0"/>
                <w:numId w:val="0"/>
              </w:numPr>
              <w:spacing w:line="360" w:lineRule="exact"/>
              <w:jc w:val="both"/>
              <w:rPr>
                <w:rFonts w:hint="eastAsia" w:asciiTheme="minorEastAsia" w:hAnsiTheme="minorEastAsia" w:eastAsiaTheme="minorEastAsia" w:cstheme="minorEastAsia"/>
                <w:color w:val="auto"/>
                <w:szCs w:val="21"/>
                <w:shd w:val="clear" w:color="auto" w:fill="FFFFFF"/>
                <w:lang w:val="en-US" w:eastAsia="zh-CN"/>
              </w:rPr>
            </w:pPr>
            <w:r>
              <w:rPr>
                <w:rFonts w:hint="eastAsia" w:asciiTheme="minorEastAsia" w:hAnsiTheme="minorEastAsia" w:eastAsiaTheme="minorEastAsia" w:cstheme="minorEastAsia"/>
                <w:color w:val="auto"/>
                <w:sz w:val="21"/>
                <w:szCs w:val="21"/>
                <w:shd w:val="clear"/>
                <w:lang w:val="en-US" w:eastAsia="zh-CN"/>
              </w:rPr>
              <w:t xml:space="preserve">第三十四条 </w:t>
            </w:r>
            <w:r>
              <w:rPr>
                <w:rFonts w:hint="eastAsia" w:asciiTheme="minorEastAsia" w:hAnsiTheme="minorEastAsia" w:eastAsiaTheme="minorEastAsia" w:cstheme="minorEastAsia"/>
                <w:color w:val="auto"/>
                <w:sz w:val="21"/>
                <w:szCs w:val="21"/>
                <w:shd w:val="clear" w:color="auto" w:fill="FFFFFF"/>
                <w:lang w:val="en-US" w:eastAsia="zh-CN"/>
              </w:rPr>
              <w:t>本办法自</w:t>
            </w:r>
            <w:r>
              <w:rPr>
                <w:rFonts w:hint="eastAsia" w:asciiTheme="minorEastAsia" w:hAnsiTheme="minorEastAsia" w:eastAsiaTheme="minorEastAsia" w:cstheme="minorEastAsia"/>
                <w:color w:val="auto"/>
                <w:sz w:val="21"/>
                <w:szCs w:val="21"/>
                <w:u w:val="single"/>
                <w:shd w:val="clear" w:color="auto" w:fill="FFFFFF"/>
                <w:lang w:val="en-US" w:eastAsia="zh-CN"/>
              </w:rPr>
              <w:t>2019年2月1日</w:t>
            </w:r>
            <w:r>
              <w:rPr>
                <w:rFonts w:hint="eastAsia" w:asciiTheme="minorEastAsia" w:hAnsiTheme="minorEastAsia" w:eastAsiaTheme="minorEastAsia" w:cstheme="minorEastAsia"/>
                <w:color w:val="auto"/>
                <w:sz w:val="21"/>
                <w:szCs w:val="21"/>
                <w:shd w:val="clear" w:color="auto" w:fill="FFFFFF"/>
                <w:lang w:val="en-US" w:eastAsia="zh-CN"/>
              </w:rPr>
              <w:t>起施行，有效期至</w:t>
            </w:r>
            <w:r>
              <w:rPr>
                <w:rFonts w:hint="eastAsia" w:asciiTheme="minorEastAsia" w:hAnsiTheme="minorEastAsia" w:eastAsiaTheme="minorEastAsia" w:cstheme="minorEastAsia"/>
                <w:color w:val="auto"/>
                <w:sz w:val="21"/>
                <w:szCs w:val="21"/>
                <w:u w:val="single"/>
                <w:shd w:val="clear" w:color="auto" w:fill="FFFFFF"/>
                <w:lang w:val="en-US" w:eastAsia="zh-CN"/>
              </w:rPr>
              <w:t>2024年1月31日</w:t>
            </w:r>
            <w:r>
              <w:rPr>
                <w:rFonts w:hint="eastAsia" w:asciiTheme="minorEastAsia" w:hAnsiTheme="minorEastAsia" w:eastAsiaTheme="minorEastAsia" w:cstheme="minorEastAsia"/>
                <w:color w:val="auto"/>
                <w:sz w:val="21"/>
                <w:szCs w:val="21"/>
                <w:shd w:val="clear" w:color="auto" w:fill="FFFFFF"/>
                <w:lang w:val="en-US" w:eastAsia="zh-CN"/>
              </w:rPr>
              <w:t>。</w:t>
            </w:r>
          </w:p>
        </w:tc>
        <w:tc>
          <w:tcPr>
            <w:tcW w:w="7320" w:type="dxa"/>
            <w:vAlign w:val="center"/>
          </w:tcPr>
          <w:p>
            <w:pPr>
              <w:numPr>
                <w:ilvl w:val="0"/>
                <w:numId w:val="0"/>
              </w:numPr>
              <w:spacing w:line="360" w:lineRule="exact"/>
              <w:ind w:firstLine="420" w:firstLineChars="200"/>
              <w:jc w:val="both"/>
              <w:rPr>
                <w:rFonts w:hint="eastAsia" w:ascii="宋体" w:hAnsi="宋体" w:eastAsia="宋体" w:cs="宋体"/>
                <w:color w:val="auto"/>
                <w:sz w:val="24"/>
                <w:szCs w:val="24"/>
              </w:rPr>
            </w:pPr>
            <w:r>
              <w:rPr>
                <w:rFonts w:hint="eastAsia" w:ascii="Helvetica" w:hAnsi="Helvetica"/>
                <w:color w:val="auto"/>
                <w:szCs w:val="21"/>
                <w:shd w:val="clear" w:color="auto" w:fill="FFFFFF"/>
                <w:lang w:val="en-US" w:eastAsia="zh-CN"/>
              </w:rPr>
              <w:t>第三十二条 本办法自</w:t>
            </w:r>
            <w:r>
              <w:rPr>
                <w:rFonts w:hint="default" w:ascii="黑体" w:hAnsi="黑体" w:eastAsia="黑体" w:cs="黑体"/>
                <w:b/>
                <w:bCs/>
                <w:color w:val="auto"/>
                <w:szCs w:val="21"/>
                <w:u w:val="none"/>
                <w:shd w:val="clear" w:color="auto" w:fill="auto"/>
                <w:lang w:val="en-US" w:eastAsia="zh-CN"/>
              </w:rPr>
              <w:t>2024年2月1</w:t>
            </w:r>
            <w:r>
              <w:rPr>
                <w:rFonts w:hint="eastAsia" w:ascii="Helvetica" w:hAnsi="Helvetica"/>
                <w:color w:val="auto"/>
                <w:szCs w:val="21"/>
                <w:shd w:val="clear" w:color="auto" w:fill="FFFFFF"/>
                <w:lang w:val="en-US" w:eastAsia="zh-CN"/>
              </w:rPr>
              <w:t>日起施行，有效期至</w:t>
            </w:r>
            <w:r>
              <w:rPr>
                <w:rFonts w:hint="default" w:ascii="黑体" w:hAnsi="黑体" w:eastAsia="黑体" w:cs="黑体"/>
                <w:b/>
                <w:bCs/>
                <w:color w:val="auto"/>
                <w:szCs w:val="21"/>
                <w:u w:val="none"/>
                <w:shd w:val="clear" w:color="auto" w:fill="auto"/>
                <w:lang w:val="en-US" w:eastAsia="zh-CN"/>
              </w:rPr>
              <w:t>2029年1月31</w:t>
            </w:r>
            <w:r>
              <w:rPr>
                <w:rFonts w:hint="eastAsia" w:ascii="Helvetica" w:hAnsi="Helvetica"/>
                <w:color w:val="auto"/>
                <w:szCs w:val="21"/>
                <w:shd w:val="clear" w:color="auto" w:fill="FFFFFF"/>
                <w:lang w:val="en-US" w:eastAsia="zh-CN"/>
              </w:rPr>
              <w:t>日</w:t>
            </w:r>
            <w:r>
              <w:rPr>
                <w:rFonts w:hint="eastAsia" w:ascii="仿宋_GB2312" w:hAnsi="仿宋_GB2312" w:eastAsia="仿宋_GB2312" w:cs="仿宋_GB2312"/>
                <w:color w:val="auto"/>
                <w:sz w:val="32"/>
                <w:szCs w:val="32"/>
              </w:rPr>
              <w:t>。</w:t>
            </w:r>
          </w:p>
        </w:tc>
      </w:tr>
    </w:tbl>
    <w:p>
      <w:pPr>
        <w:pStyle w:val="2"/>
      </w:pPr>
    </w:p>
    <w:sectPr>
      <w:footerReference r:id="rId3" w:type="default"/>
      <w:pgSz w:w="16838" w:h="11906" w:orient="landscape"/>
      <w:pgMar w:top="2098" w:right="1474" w:bottom="192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F4C27A"/>
    <w:multiLevelType w:val="singleLevel"/>
    <w:tmpl w:val="1BF4C27A"/>
    <w:lvl w:ilvl="0" w:tentative="0">
      <w:start w:val="1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ED73ED"/>
    <w:rsid w:val="07ED73ED"/>
    <w:rsid w:val="0EC36338"/>
    <w:rsid w:val="103A75C8"/>
    <w:rsid w:val="1F0248B6"/>
    <w:rsid w:val="21494FBC"/>
    <w:rsid w:val="27563C24"/>
    <w:rsid w:val="27600F87"/>
    <w:rsid w:val="293530DA"/>
    <w:rsid w:val="34645C4C"/>
    <w:rsid w:val="3B3E288A"/>
    <w:rsid w:val="3D275A0F"/>
    <w:rsid w:val="43421586"/>
    <w:rsid w:val="53665575"/>
    <w:rsid w:val="5A7E6877"/>
    <w:rsid w:val="5FF05257"/>
    <w:rsid w:val="63952E90"/>
    <w:rsid w:val="734862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before="0" w:after="140" w:line="276" w:lineRule="auto"/>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山东省发展和改革委</Company>
  <Pages>1</Pages>
  <Words>0</Words>
  <Characters>0</Characters>
  <Lines>0</Lines>
  <Paragraphs>0</Paragraphs>
  <TotalTime>7</TotalTime>
  <ScaleCrop>false</ScaleCrop>
  <LinksUpToDate>false</LinksUpToDate>
  <CharactersWithSpaces>0</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2023-12-18T06:38:00Z</dcterms:created>
  <dc:creator>于华美</dc:creator>
  <cp:lastModifiedBy>于华美</cp:lastModifiedBy>
  <cp:lastPrinted>2024-01-08T01:19:00Z</cp:lastPrinted>
  <dcterms:modified xsi:type="dcterms:W3CDTF">2024-01-08T07:11:08Z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ies>
</file>