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rPr>
      </w:pPr>
      <w:r>
        <w:rPr>
          <w:rFonts w:hint="eastAsia" w:ascii="黑体" w:hAnsi="黑体" w:eastAsia="黑体"/>
          <w:sz w:val="32"/>
          <w:szCs w:val="32"/>
        </w:rPr>
        <w:t>LXDR-2024-0020001</w:t>
      </w:r>
    </w:p>
    <w:p>
      <w:pPr>
        <w:spacing w:line="560" w:lineRule="exact"/>
      </w:pPr>
    </w:p>
    <w:p>
      <w:pPr>
        <w:spacing w:before="156" w:beforeLines="50" w:line="560" w:lineRule="exact"/>
        <w:jc w:val="center"/>
        <w:rPr>
          <w:rFonts w:ascii="仿宋_GB2312" w:eastAsia="仿宋_GB2312"/>
          <w:sz w:val="32"/>
          <w:szCs w:val="32"/>
        </w:rPr>
      </w:pPr>
      <w:r>
        <w:rPr>
          <w:rFonts w:hint="eastAsia" w:ascii="仿宋_GB2312" w:eastAsia="仿宋_GB2312" w:cs="仿宋_GB2312"/>
          <w:sz w:val="32"/>
          <w:szCs w:val="32"/>
        </w:rPr>
        <w:t>历下政办发〔</w:t>
      </w:r>
      <w:r>
        <w:rPr>
          <w:rFonts w:ascii="仿宋_GB2312" w:eastAsia="仿宋_GB2312" w:cs="仿宋_GB2312"/>
          <w:sz w:val="32"/>
          <w:szCs w:val="32"/>
        </w:rPr>
        <w:t>20</w:t>
      </w:r>
      <w:r>
        <w:rPr>
          <w:rFonts w:hint="eastAsia" w:ascii="仿宋_GB2312" w:eastAsia="仿宋_GB2312" w:cs="仿宋_GB2312"/>
          <w:sz w:val="32"/>
          <w:szCs w:val="32"/>
        </w:rPr>
        <w:t>24〕1号</w:t>
      </w:r>
    </w:p>
    <w:p>
      <w:pPr>
        <w:spacing w:line="560" w:lineRule="exact"/>
        <w:jc w:val="center"/>
        <w:rPr>
          <w:rFonts w:ascii="仿宋_GB2312" w:eastAsia="仿宋_GB2312"/>
        </w:rPr>
      </w:pPr>
    </w:p>
    <w:p>
      <w:pPr>
        <w:spacing w:line="560" w:lineRule="exact"/>
        <w:jc w:val="center"/>
        <w:rPr>
          <w:rFonts w:ascii="方正小标宋简体" w:hAnsi="宋体" w:eastAsia="方正小标宋简体" w:cs="宋体"/>
          <w:sz w:val="44"/>
          <w:szCs w:val="44"/>
        </w:rPr>
      </w:pPr>
      <w:bookmarkStart w:id="0" w:name="_GoBack"/>
      <w:r>
        <w:rPr>
          <w:rFonts w:hint="eastAsia" w:ascii="方正小标宋简体" w:hAnsi="宋体" w:eastAsia="方正小标宋简体" w:cs="宋体"/>
          <w:sz w:val="44"/>
          <w:szCs w:val="44"/>
        </w:rPr>
        <w:t>济南市历下区人民政府办公室</w:t>
      </w:r>
    </w:p>
    <w:p>
      <w:pPr>
        <w:spacing w:line="560" w:lineRule="exact"/>
        <w:jc w:val="center"/>
        <w:rPr>
          <w:rFonts w:hint="eastAsia" w:eastAsia="方正小标宋简体"/>
          <w:color w:val="000000"/>
          <w:sz w:val="44"/>
          <w:szCs w:val="44"/>
        </w:rPr>
      </w:pPr>
      <w:r>
        <w:rPr>
          <w:rFonts w:hint="eastAsia" w:eastAsia="方正小标宋简体"/>
          <w:color w:val="000000"/>
          <w:sz w:val="44"/>
          <w:szCs w:val="44"/>
        </w:rPr>
        <w:t>关于印发济南市历下区部分人员公费医疗</w:t>
      </w:r>
    </w:p>
    <w:p>
      <w:pPr>
        <w:spacing w:line="560" w:lineRule="exact"/>
        <w:jc w:val="center"/>
        <w:rPr>
          <w:rFonts w:ascii="方正小标宋简体" w:hAnsi="宋体" w:eastAsia="方正小标宋简体" w:cs="宋体"/>
          <w:sz w:val="44"/>
          <w:szCs w:val="44"/>
        </w:rPr>
      </w:pPr>
      <w:r>
        <w:rPr>
          <w:rFonts w:hint="eastAsia" w:eastAsia="方正小标宋简体"/>
          <w:color w:val="000000"/>
          <w:sz w:val="44"/>
          <w:szCs w:val="44"/>
        </w:rPr>
        <w:t>管理实施细则的通知</w:t>
      </w:r>
    </w:p>
    <w:bookmarkEnd w:id="0"/>
    <w:p>
      <w:pPr>
        <w:spacing w:line="560" w:lineRule="exact"/>
        <w:ind w:firstLine="560" w:firstLineChars="200"/>
        <w:rPr>
          <w:rFonts w:ascii="仿宋_GB2312" w:eastAsia="仿宋_GB2312"/>
          <w:sz w:val="28"/>
        </w:rPr>
      </w:pPr>
    </w:p>
    <w:p>
      <w:pPr>
        <w:adjustRightInd w:val="0"/>
        <w:snapToGrid w:val="0"/>
        <w:spacing w:line="560" w:lineRule="exac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各街道办事处，区政府各部门（单位）：</w:t>
      </w:r>
    </w:p>
    <w:p>
      <w:pPr>
        <w:spacing w:line="560" w:lineRule="exact"/>
        <w:ind w:firstLine="640" w:firstLineChars="200"/>
        <w:rPr>
          <w:rFonts w:ascii="仿宋_GB2312" w:eastAsia="仿宋_GB2312"/>
          <w:sz w:val="32"/>
        </w:rPr>
      </w:pPr>
      <w:r>
        <w:rPr>
          <w:rFonts w:hint="eastAsia" w:ascii="仿宋_GB2312" w:hAnsi="宋体" w:eastAsia="仿宋_GB2312" w:cs="仿宋"/>
          <w:color w:val="000000"/>
          <w:sz w:val="32"/>
          <w:szCs w:val="32"/>
        </w:rPr>
        <w:t>《济南市历下区部分人员公费医疗管理实施细则》已经区政府同意，现印发给你们，请认真贯彻执行。</w:t>
      </w:r>
    </w:p>
    <w:p>
      <w:pPr>
        <w:overflowPunct w:val="0"/>
        <w:autoSpaceDE w:val="0"/>
        <w:autoSpaceDN w:val="0"/>
        <w:spacing w:line="560" w:lineRule="exact"/>
        <w:ind w:firstLine="640" w:firstLineChars="200"/>
        <w:textAlignment w:val="center"/>
        <w:rPr>
          <w:rFonts w:ascii="仿宋_GB2312" w:eastAsia="仿宋_GB2312"/>
          <w:kern w:val="0"/>
          <w:sz w:val="32"/>
        </w:rPr>
      </w:pPr>
    </w:p>
    <w:p>
      <w:pPr>
        <w:overflowPunct w:val="0"/>
        <w:autoSpaceDE w:val="0"/>
        <w:autoSpaceDN w:val="0"/>
        <w:spacing w:line="560" w:lineRule="exact"/>
        <w:ind w:firstLine="640" w:firstLineChars="200"/>
        <w:textAlignment w:val="center"/>
        <w:rPr>
          <w:rFonts w:ascii="仿宋_GB2312" w:eastAsia="仿宋_GB2312"/>
          <w:kern w:val="0"/>
          <w:sz w:val="32"/>
        </w:rPr>
      </w:pPr>
    </w:p>
    <w:p>
      <w:pPr>
        <w:overflowPunct w:val="0"/>
        <w:autoSpaceDE w:val="0"/>
        <w:autoSpaceDN w:val="0"/>
        <w:spacing w:line="560" w:lineRule="exact"/>
        <w:ind w:firstLine="640" w:firstLineChars="200"/>
        <w:textAlignment w:val="center"/>
        <w:rPr>
          <w:rFonts w:ascii="仿宋_GB2312" w:eastAsia="仿宋_GB2312"/>
          <w:kern w:val="0"/>
          <w:sz w:val="32"/>
        </w:rPr>
      </w:pPr>
      <w:r>
        <w:rPr>
          <w:rFonts w:hint="eastAsia" w:ascii="仿宋_GB2312" w:eastAsia="仿宋_GB2312"/>
          <w:kern w:val="0"/>
          <w:sz w:val="32"/>
        </w:rPr>
        <w:t>　　　　　　　　    　济南市历下区人民政府办公室</w:t>
      </w:r>
    </w:p>
    <w:p>
      <w:pPr>
        <w:spacing w:line="560" w:lineRule="exact"/>
        <w:ind w:firstLine="640" w:firstLineChars="200"/>
        <w:rPr>
          <w:rFonts w:ascii="仿宋_GB2312" w:hAnsi="仿宋" w:eastAsia="仿宋_GB2312"/>
          <w:sz w:val="32"/>
        </w:rPr>
      </w:pPr>
      <w:r>
        <w:rPr>
          <w:rFonts w:hint="eastAsia" w:ascii="仿宋_GB2312" w:eastAsia="仿宋_GB2312"/>
          <w:kern w:val="0"/>
          <w:sz w:val="32"/>
        </w:rPr>
        <w:t xml:space="preserve">                    　     </w:t>
      </w:r>
      <w:r>
        <w:rPr>
          <w:rFonts w:hint="eastAsia" w:ascii="仿宋_GB2312" w:eastAsia="仿宋_GB2312"/>
          <w:sz w:val="32"/>
        </w:rPr>
        <w:t>2024年4月18日</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（此件公开发布）</w:t>
      </w:r>
    </w:p>
    <w:p>
      <w:pPr>
        <w:spacing w:line="560" w:lineRule="exact"/>
        <w:ind w:firstLine="880" w:firstLineChars="200"/>
        <w:rPr>
          <w:rFonts w:hint="eastAsia" w:ascii="方正小标宋简体" w:eastAsia="方正小标宋简体"/>
          <w:sz w:val="44"/>
          <w:szCs w:val="44"/>
        </w:rPr>
      </w:pPr>
    </w:p>
    <w:p>
      <w:pPr>
        <w:spacing w:line="560" w:lineRule="exact"/>
        <w:ind w:firstLine="880" w:firstLineChars="200"/>
        <w:rPr>
          <w:rFonts w:hint="eastAsia" w:ascii="方正小标宋简体" w:eastAsia="方正小标宋简体"/>
          <w:sz w:val="44"/>
          <w:szCs w:val="44"/>
        </w:rPr>
      </w:pPr>
    </w:p>
    <w:p>
      <w:pPr>
        <w:spacing w:line="560" w:lineRule="exact"/>
        <w:ind w:firstLine="880" w:firstLineChars="200"/>
        <w:rPr>
          <w:rFonts w:hint="eastAsia" w:ascii="方正小标宋简体" w:eastAsia="方正小标宋简体"/>
          <w:sz w:val="44"/>
          <w:szCs w:val="44"/>
        </w:rPr>
      </w:pPr>
    </w:p>
    <w:p>
      <w:pPr>
        <w:spacing w:line="560" w:lineRule="exact"/>
        <w:ind w:firstLine="880" w:firstLineChars="200"/>
        <w:rPr>
          <w:rFonts w:hint="eastAsia" w:ascii="方正小标宋简体" w:eastAsia="方正小标宋简体"/>
          <w:sz w:val="44"/>
          <w:szCs w:val="44"/>
        </w:rPr>
      </w:pPr>
    </w:p>
    <w:p>
      <w:pPr>
        <w:spacing w:line="560" w:lineRule="exact"/>
        <w:ind w:firstLine="880" w:firstLineChars="200"/>
        <w:rPr>
          <w:rFonts w:hint="eastAsia" w:ascii="方正小标宋简体" w:eastAsia="方正小标宋简体"/>
          <w:sz w:val="44"/>
          <w:szCs w:val="44"/>
        </w:rPr>
      </w:pPr>
    </w:p>
    <w:p>
      <w:pPr>
        <w:spacing w:line="560" w:lineRule="exact"/>
        <w:ind w:firstLine="880" w:firstLineChars="200"/>
        <w:rPr>
          <w:rFonts w:hint="eastAsia" w:ascii="方正小标宋简体" w:eastAsia="方正小标宋简体"/>
          <w:sz w:val="44"/>
          <w:szCs w:val="44"/>
        </w:rPr>
      </w:pPr>
    </w:p>
    <w:p>
      <w:pPr>
        <w:spacing w:line="560" w:lineRule="exact"/>
        <w:jc w:val="center"/>
        <w:rPr>
          <w:rFonts w:hint="eastAsia" w:ascii="方正小标宋简体" w:eastAsia="方正小标宋简体"/>
          <w:sz w:val="44"/>
          <w:szCs w:val="44"/>
        </w:rPr>
      </w:pPr>
      <w:r>
        <w:rPr>
          <w:rFonts w:hint="eastAsia" w:ascii="方正小标宋简体" w:eastAsia="方正小标宋简体"/>
          <w:sz w:val="44"/>
          <w:szCs w:val="44"/>
        </w:rPr>
        <w:t>济南市历下区部分人员公费医疗管理</w:t>
      </w:r>
    </w:p>
    <w:p>
      <w:pPr>
        <w:spacing w:line="560" w:lineRule="exact"/>
        <w:jc w:val="center"/>
        <w:rPr>
          <w:rFonts w:hint="eastAsia" w:ascii="方正小标宋简体" w:eastAsia="方正小标宋简体"/>
          <w:sz w:val="44"/>
          <w:szCs w:val="44"/>
        </w:rPr>
      </w:pPr>
      <w:r>
        <w:rPr>
          <w:rFonts w:hint="eastAsia" w:ascii="方正小标宋简体" w:eastAsia="方正小标宋简体"/>
          <w:sz w:val="44"/>
          <w:szCs w:val="44"/>
        </w:rPr>
        <w:t>实施细则</w:t>
      </w:r>
    </w:p>
    <w:p>
      <w:pPr>
        <w:spacing w:line="560" w:lineRule="exact"/>
        <w:ind w:firstLine="640" w:firstLineChars="200"/>
        <w:rPr>
          <w:rFonts w:hint="eastAsia" w:ascii="仿宋_GB2312" w:eastAsia="仿宋_GB2312"/>
          <w:sz w:val="32"/>
          <w:szCs w:val="32"/>
        </w:rPr>
      </w:pP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为健全和完善我区公费医疗管理制度，保障未参加公费医疗改革的离、退休人员（以下简称公费医疗人员）医疗待遇，做好公费医疗并轨医疗保险的过渡工作，</w:t>
      </w:r>
      <w:r>
        <w:rPr>
          <w:rFonts w:hint="eastAsia" w:ascii="仿宋_GB2312" w:eastAsia="仿宋_GB2312"/>
          <w:spacing w:val="-4"/>
          <w:sz w:val="32"/>
          <w:szCs w:val="32"/>
        </w:rPr>
        <w:t>经研究特制定《济南市历下区部分人员公费医疗管理实施细则》，具体内容如下：</w:t>
      </w:r>
    </w:p>
    <w:p>
      <w:pPr>
        <w:numPr>
          <w:ilvl w:val="0"/>
          <w:numId w:val="1"/>
        </w:numPr>
        <w:spacing w:line="560" w:lineRule="exact"/>
        <w:rPr>
          <w:rFonts w:hint="eastAsia" w:ascii="黑体" w:eastAsia="黑体"/>
          <w:sz w:val="32"/>
          <w:szCs w:val="32"/>
        </w:rPr>
      </w:pPr>
      <w:r>
        <w:rPr>
          <w:rFonts w:hint="eastAsia" w:ascii="黑体" w:eastAsia="黑体"/>
          <w:sz w:val="32"/>
          <w:szCs w:val="32"/>
        </w:rPr>
        <w:t>人员范围</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历下区未参加公费医疗改革的离休干部、六级以上革命伤残军人、民政代管退休人员及无军籍代管退休人员。</w:t>
      </w:r>
    </w:p>
    <w:p>
      <w:pPr>
        <w:spacing w:line="560" w:lineRule="exact"/>
        <w:ind w:firstLine="640" w:firstLineChars="200"/>
        <w:rPr>
          <w:rFonts w:hint="eastAsia" w:ascii="黑体" w:eastAsia="黑体"/>
          <w:sz w:val="32"/>
          <w:szCs w:val="32"/>
        </w:rPr>
      </w:pPr>
      <w:r>
        <w:rPr>
          <w:rFonts w:hint="eastAsia" w:ascii="黑体" w:eastAsia="黑体"/>
          <w:sz w:val="32"/>
          <w:szCs w:val="32"/>
        </w:rPr>
        <w:t>二、定点医疗机构</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历下区人民医院是区属公费医疗人员就医的定点医疗机构。</w:t>
      </w:r>
    </w:p>
    <w:p>
      <w:pPr>
        <w:spacing w:line="560" w:lineRule="exact"/>
        <w:ind w:firstLine="640" w:firstLineChars="200"/>
        <w:rPr>
          <w:rFonts w:hint="eastAsia" w:ascii="黑体" w:eastAsia="黑体"/>
          <w:sz w:val="32"/>
          <w:szCs w:val="32"/>
        </w:rPr>
      </w:pPr>
      <w:r>
        <w:rPr>
          <w:rFonts w:hint="eastAsia" w:ascii="黑体" w:eastAsia="黑体"/>
          <w:sz w:val="32"/>
          <w:szCs w:val="32"/>
        </w:rPr>
        <w:t>三、三大目录</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我区公费医疗人员就医参照济南市医疗保险规定，统一执行《国家基本医疗保险、工伤保险和生育保险药品目录》。  </w:t>
      </w:r>
    </w:p>
    <w:p>
      <w:pPr>
        <w:spacing w:line="560" w:lineRule="exact"/>
        <w:ind w:firstLine="640" w:firstLineChars="200"/>
        <w:rPr>
          <w:rFonts w:hint="eastAsia" w:ascii="黑体" w:eastAsia="黑体"/>
          <w:sz w:val="32"/>
          <w:szCs w:val="32"/>
        </w:rPr>
      </w:pPr>
      <w:r>
        <w:rPr>
          <w:rFonts w:hint="eastAsia" w:ascii="黑体" w:eastAsia="黑体"/>
          <w:sz w:val="32"/>
          <w:szCs w:val="32"/>
        </w:rPr>
        <w:t>四、医疗费报销办法</w:t>
      </w:r>
    </w:p>
    <w:p>
      <w:pPr>
        <w:spacing w:line="560" w:lineRule="exact"/>
        <w:ind w:firstLine="640" w:firstLineChars="200"/>
        <w:rPr>
          <w:rFonts w:hint="eastAsia" w:ascii="楷体_GB2312" w:eastAsia="楷体_GB2312"/>
          <w:sz w:val="32"/>
          <w:szCs w:val="32"/>
        </w:rPr>
      </w:pPr>
      <w:r>
        <w:rPr>
          <w:rFonts w:hint="eastAsia" w:ascii="楷体_GB2312" w:eastAsia="楷体_GB2312"/>
          <w:sz w:val="32"/>
          <w:szCs w:val="32"/>
        </w:rPr>
        <w:t>（一）报销比例。</w:t>
      </w:r>
      <w:r>
        <w:rPr>
          <w:rFonts w:hint="eastAsia" w:ascii="仿宋_GB2312" w:eastAsia="仿宋_GB2312"/>
          <w:sz w:val="32"/>
          <w:szCs w:val="32"/>
        </w:rPr>
        <w:t>离休干部、六级以上革命伤残军人的医疗费，属报销范围的，据实报销。退休人员在定点医疗机构就医，凡属目录内甲类药品及诊疗费用，按90%报销；恶性肿瘤、尿毒症、器官移植抗排异治疗，按95%报销；发生在非定点医疗机构的急症费用及经批准的转诊、转院医疗费，经审核后符合规定的费用，按80%报销；特殊病种如精神病、传染病等可转诊至专科医院住院治疗，所发生的医药费按定点医疗机构的报销比例予以报销；</w:t>
      </w:r>
      <w:r>
        <w:rPr>
          <w:rFonts w:hint="eastAsia" w:ascii="仿宋_GB2312" w:eastAsia="仿宋_GB2312"/>
          <w:color w:val="000000"/>
          <w:sz w:val="32"/>
          <w:szCs w:val="32"/>
        </w:rPr>
        <w:t>在定点医疗机构和非定点医疗机构发生的乙类药品及诊疗费用，按80%报销。</w:t>
      </w:r>
    </w:p>
    <w:p>
      <w:pPr>
        <w:spacing w:line="560" w:lineRule="exact"/>
        <w:ind w:firstLine="640" w:firstLineChars="200"/>
        <w:rPr>
          <w:rFonts w:hint="eastAsia" w:ascii="楷体_GB2312" w:eastAsia="楷体_GB2312"/>
          <w:sz w:val="32"/>
          <w:szCs w:val="32"/>
        </w:rPr>
      </w:pPr>
      <w:r>
        <w:rPr>
          <w:rFonts w:hint="eastAsia" w:ascii="楷体_GB2312" w:eastAsia="楷体_GB2312"/>
          <w:sz w:val="32"/>
          <w:szCs w:val="32"/>
        </w:rPr>
        <w:t>（二）结算方式。</w:t>
      </w:r>
      <w:r>
        <w:rPr>
          <w:rFonts w:hint="eastAsia" w:ascii="仿宋_GB2312" w:eastAsia="仿宋_GB2312"/>
          <w:sz w:val="32"/>
          <w:szCs w:val="32"/>
        </w:rPr>
        <w:t>我区公费医疗人员在定点医疗机构就医，由本人凭公费医疗证、就诊卡挂号，持大病历到相应科室就诊，实行记账管理，结算时支付个人承担部分。在非定点医疗机构就医实行先现金垫付后审核报销的管理办法。</w:t>
      </w:r>
    </w:p>
    <w:p>
      <w:pPr>
        <w:spacing w:line="560" w:lineRule="exact"/>
        <w:ind w:firstLine="640" w:firstLineChars="200"/>
        <w:rPr>
          <w:rFonts w:hint="eastAsia" w:ascii="楷体_GB2312" w:eastAsia="楷体_GB2312"/>
          <w:sz w:val="32"/>
          <w:szCs w:val="32"/>
        </w:rPr>
      </w:pPr>
      <w:r>
        <w:rPr>
          <w:rFonts w:hint="eastAsia" w:ascii="楷体_GB2312" w:eastAsia="楷体_GB2312"/>
          <w:sz w:val="32"/>
          <w:szCs w:val="32"/>
        </w:rPr>
        <w:t>（三）报销办法。</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1．定点医疗机构记账经费报销程序及时间。每月10日前，定点医疗机构将上月发生在本院的费用明细汇总后报送至区医疗保险事业中心，经审核后区医疗保险事业中心将符合规定的费用向区财政局递交申请报告，月底前拨付到位。</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2．个人医疗费用的报销程序及时间。</w:t>
      </w:r>
      <w:r>
        <w:rPr>
          <w:rFonts w:hint="eastAsia" w:ascii="仿宋_GB2312" w:eastAsia="仿宋_GB2312"/>
          <w:color w:val="000000"/>
          <w:sz w:val="32"/>
          <w:szCs w:val="32"/>
        </w:rPr>
        <w:t>在非定点医疗机构发生的合规医疗费用，每月报销一次，其医疗费于每月5日前，由单位汇总后先报定点医疗机构公费医疗管理办公室审核；同月10—15日，各单位汇总后报送区医疗保险事业中心，逾期不送的，转次月报销。</w:t>
      </w:r>
      <w:r>
        <w:rPr>
          <w:rFonts w:hint="eastAsia" w:ascii="仿宋_GB2312" w:eastAsia="仿宋_GB2312"/>
          <w:sz w:val="32"/>
          <w:szCs w:val="32"/>
        </w:rPr>
        <w:t>年末，本年度应报未报费用可合并于次年第一季度费用中予以一次性扫尾报销</w:t>
      </w:r>
      <w:r>
        <w:rPr>
          <w:rFonts w:hint="eastAsia" w:ascii="仿宋_GB2312" w:eastAsia="仿宋_GB2312"/>
          <w:color w:val="000000"/>
          <w:sz w:val="32"/>
          <w:szCs w:val="32"/>
        </w:rPr>
        <w:t>。</w:t>
      </w:r>
    </w:p>
    <w:p>
      <w:pPr>
        <w:spacing w:line="560" w:lineRule="exact"/>
        <w:ind w:firstLine="640" w:firstLineChars="200"/>
        <w:rPr>
          <w:rFonts w:hint="eastAsia" w:ascii="楷体_GB2312" w:eastAsia="楷体_GB2312"/>
          <w:sz w:val="32"/>
          <w:szCs w:val="32"/>
        </w:rPr>
      </w:pPr>
      <w:r>
        <w:rPr>
          <w:rFonts w:hint="eastAsia" w:ascii="楷体_GB2312" w:eastAsia="楷体_GB2312"/>
          <w:sz w:val="32"/>
          <w:szCs w:val="32"/>
        </w:rPr>
        <w:t>（四）定点医疗机构医疗服务及医药管理。</w:t>
      </w:r>
      <w:r>
        <w:rPr>
          <w:rFonts w:hint="eastAsia" w:ascii="仿宋_GB2312" w:eastAsia="仿宋_GB2312"/>
          <w:color w:val="000000"/>
          <w:sz w:val="32"/>
          <w:szCs w:val="32"/>
        </w:rPr>
        <w:t>定点医疗机构应严格遵循医疗保障、卫生健康部门有关规定，为公费医疗人员提供基本医疗服务，合理检查、合理治疗、合理用药、合规收费，不断提高公费医疗经费使用绩效，严格控制公费医疗人员个人负担比例和医疗费用不合理增长。</w:t>
      </w:r>
    </w:p>
    <w:p>
      <w:pPr>
        <w:spacing w:line="560" w:lineRule="exact"/>
        <w:ind w:firstLine="640" w:firstLineChars="200"/>
        <w:rPr>
          <w:rFonts w:hint="eastAsia" w:ascii="仿宋_GB2312" w:eastAsia="仿宋_GB2312"/>
          <w:color w:val="FF0000"/>
          <w:sz w:val="32"/>
          <w:szCs w:val="32"/>
        </w:rPr>
      </w:pPr>
      <w:r>
        <w:rPr>
          <w:rFonts w:hint="eastAsia" w:ascii="仿宋_GB2312" w:eastAsia="仿宋_GB2312"/>
          <w:color w:val="000000"/>
          <w:sz w:val="32"/>
          <w:szCs w:val="32"/>
        </w:rPr>
        <w:t>定点医疗机构严格按照现行有效的基本医疗保险药品目录、诊疗项目目录、医疗服务设施项目范围，为公费医疗人员提供合理、必要的基本医疗服务。优先及合理使用目录范围内的药品、诊疗项目、医用耗材（含植入类医疗器械）。超出目录和支付标准范围的费用，不予报销。</w:t>
      </w:r>
    </w:p>
    <w:p>
      <w:pPr>
        <w:spacing w:line="560" w:lineRule="exact"/>
        <w:ind w:firstLine="640" w:firstLineChars="200"/>
        <w:rPr>
          <w:rFonts w:hint="eastAsia" w:ascii="黑体" w:eastAsia="黑体"/>
          <w:sz w:val="32"/>
          <w:szCs w:val="32"/>
        </w:rPr>
      </w:pPr>
      <w:r>
        <w:rPr>
          <w:rFonts w:hint="eastAsia" w:ascii="黑体" w:eastAsia="黑体"/>
          <w:sz w:val="32"/>
          <w:szCs w:val="32"/>
        </w:rPr>
        <w:t>五、定点医疗机构住院管理</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1．我区公费医疗人员病情需要住院治疗时，病人携带病历、住院票、公费医疗证、就诊卡到</w:t>
      </w:r>
      <w:r>
        <w:rPr>
          <w:rFonts w:hint="eastAsia" w:ascii="仿宋_GB2312" w:eastAsia="仿宋_GB2312"/>
          <w:color w:val="000000"/>
          <w:sz w:val="32"/>
          <w:szCs w:val="32"/>
        </w:rPr>
        <w:t>定点医疗机构</w:t>
      </w:r>
      <w:r>
        <w:rPr>
          <w:rFonts w:hint="eastAsia" w:ascii="仿宋_GB2312" w:eastAsia="仿宋_GB2312"/>
          <w:sz w:val="32"/>
          <w:szCs w:val="32"/>
        </w:rPr>
        <w:t>办理有关住院手续，实行记账管理，</w:t>
      </w:r>
      <w:r>
        <w:rPr>
          <w:rFonts w:hint="eastAsia" w:ascii="仿宋_GB2312" w:eastAsia="仿宋_GB2312"/>
          <w:spacing w:val="6"/>
          <w:sz w:val="32"/>
          <w:szCs w:val="32"/>
        </w:rPr>
        <w:t>出院结算时支付个人承担部分。</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定点医疗机构要严格掌握出、入院指征，按照诊疗规范向公费医疗人员提供合理、必要的医药服务，如实出具费用单据和相关资料，不得分解住院、挂床住院，不得违反诊疗规范过度诊疗、过度检查、分解处方、超量开药、重复开药，不得重复收费、超标准收费、分解项目收费，不得串换药品、医用耗材、诊疗项目和服务设施，不得诱导、协助他人冒名或者虚假就医。</w:t>
      </w:r>
    </w:p>
    <w:p>
      <w:pPr>
        <w:spacing w:line="560" w:lineRule="exact"/>
        <w:ind w:firstLine="640" w:firstLineChars="200"/>
        <w:rPr>
          <w:rFonts w:hint="eastAsia" w:ascii="仿宋_GB2312" w:eastAsia="仿宋_GB2312"/>
          <w:color w:val="000000"/>
          <w:sz w:val="32"/>
          <w:szCs w:val="32"/>
        </w:rPr>
      </w:pPr>
      <w:r>
        <w:rPr>
          <w:rFonts w:hint="eastAsia" w:ascii="仿宋_GB2312" w:eastAsia="仿宋_GB2312"/>
          <w:sz w:val="32"/>
          <w:szCs w:val="32"/>
        </w:rPr>
        <w:t>3．定点医疗机构应保证公费医疗人员知情同意权，主动提供住院费用结算单和住院费用日清单；建立并执行自费项目知情确认制度，除急诊、抢救等特殊情形外，发生目录范围以外的医疗费用，须经本人或其近亲属、监护人同意签字并留存备查，</w:t>
      </w:r>
      <w:r>
        <w:rPr>
          <w:rFonts w:hint="eastAsia" w:ascii="仿宋_GB2312" w:eastAsia="仿宋_GB2312"/>
          <w:color w:val="000000"/>
          <w:sz w:val="32"/>
          <w:szCs w:val="32"/>
        </w:rPr>
        <w:t>未经病人同意擅自使用自费及乙类药品，加重病人经济负担的，由责任人承担相应费用。</w:t>
      </w:r>
    </w:p>
    <w:p>
      <w:pPr>
        <w:spacing w:line="560" w:lineRule="exact"/>
        <w:ind w:firstLine="640" w:firstLineChars="200"/>
        <w:rPr>
          <w:rFonts w:hint="eastAsia" w:ascii="黑体" w:eastAsia="黑体"/>
          <w:sz w:val="32"/>
          <w:szCs w:val="32"/>
        </w:rPr>
      </w:pPr>
      <w:r>
        <w:rPr>
          <w:rFonts w:hint="eastAsia" w:ascii="黑体" w:eastAsia="黑体"/>
          <w:sz w:val="32"/>
          <w:szCs w:val="32"/>
        </w:rPr>
        <w:t>六、关于急症、转诊、转院问题</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因患急症需在外院门诊就诊的患者，仅限1—3日急症处方，三日内携带病历、检查结果和发票到定点医疗机构公费医疗管理办公室审核登记；因病情需要必须在外院住院治疗者，应在三个工作日内到定点医疗机构公费医疗管理办公室办理登记，病情稳定后应立即转回定点医疗机构治疗。特殊情况下，先打电话报备，后补报材料。</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因病情需要转诊转院的患者，经定点医疗机构就诊科室主任提出申请，定点医疗机构公费医疗管理办公室同意，院长签字后方可到指定医院就诊或住院治疗。出院后携带公费医疗证、住院发票原件、转诊协议书、住院费用明细单及病历复印件到定点医疗机构公费医疗管理办公室审核签字。</w:t>
      </w:r>
    </w:p>
    <w:p>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3.非急症、未经转诊转院，在外院擅自检查、治疗和住院发生的医疗费用，一律不予报销。</w:t>
      </w:r>
    </w:p>
    <w:p>
      <w:pPr>
        <w:spacing w:line="560" w:lineRule="exact"/>
        <w:ind w:firstLine="640" w:firstLineChars="200"/>
        <w:rPr>
          <w:rFonts w:hint="eastAsia" w:ascii="黑体" w:eastAsia="黑体"/>
          <w:sz w:val="32"/>
          <w:szCs w:val="32"/>
        </w:rPr>
      </w:pPr>
      <w:r>
        <w:rPr>
          <w:rFonts w:hint="eastAsia" w:ascii="黑体" w:eastAsia="黑体"/>
          <w:sz w:val="32"/>
          <w:szCs w:val="32"/>
        </w:rPr>
        <w:t>七、异地安置人员医疗费用的报销</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由本人提出书面申请并经所在单位证明，到定点医疗机构公费医疗管理办公室办理相关手续。在当地指定医院发生的医药费按定点医疗机构的报销比例予以报销。</w:t>
      </w:r>
    </w:p>
    <w:p>
      <w:pPr>
        <w:spacing w:line="560" w:lineRule="exact"/>
        <w:ind w:firstLine="640" w:firstLineChars="200"/>
        <w:rPr>
          <w:rFonts w:hint="eastAsia" w:ascii="黑体" w:eastAsia="黑体"/>
          <w:sz w:val="32"/>
          <w:szCs w:val="32"/>
        </w:rPr>
      </w:pPr>
      <w:r>
        <w:rPr>
          <w:rFonts w:hint="eastAsia" w:ascii="黑体" w:eastAsia="黑体"/>
          <w:sz w:val="32"/>
          <w:szCs w:val="32"/>
        </w:rPr>
        <w:t>八、建立大额医疗费二次支付制度及报销绿色通道</w:t>
      </w:r>
      <w:r>
        <w:rPr>
          <w:rFonts w:hint="eastAsia" w:ascii="黑体" w:eastAsia="黑体"/>
          <w:sz w:val="32"/>
          <w:szCs w:val="32"/>
        </w:rPr>
        <w:tab/>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保障公费医疗人员的基本医疗及生活需求，参照济南市医疗保险相关规定建立大额医疗费二次支付制度，执行《关于进一步健全职工基本医疗保险门诊共济保障机制的若干政策措施》《济南市职工基本医疗保险实施细则》标准。</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畅通报销绿色通道，财政局设立专项周转资金50万元，对于因病在非定点医疗机构治疗、阶段性医疗费超过10万元的患者及时予以报销，审核渠道不变。</w:t>
      </w:r>
    </w:p>
    <w:p>
      <w:pPr>
        <w:spacing w:line="540" w:lineRule="exact"/>
        <w:ind w:firstLine="640" w:firstLineChars="200"/>
        <w:rPr>
          <w:rFonts w:hint="eastAsia" w:ascii="黑体" w:eastAsia="黑体"/>
          <w:sz w:val="32"/>
          <w:szCs w:val="32"/>
        </w:rPr>
      </w:pPr>
      <w:r>
        <w:rPr>
          <w:rFonts w:hint="eastAsia" w:ascii="黑体" w:eastAsia="黑体"/>
          <w:sz w:val="32"/>
          <w:szCs w:val="32"/>
        </w:rPr>
        <w:t>九、公费医疗经费年度定额及超支的核算办法</w:t>
      </w:r>
    </w:p>
    <w:p>
      <w:pPr>
        <w:spacing w:line="54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rPr>
        <w:t>公费医疗经费按照财政预算、定额管理的办法执行。民政代管退休人员、无军籍代管退休人员每人每年10000元；离休干部、六级以上革命伤残军人每人每年60000元，超定额费用由财政和定点医院按8：2比例分担。</w:t>
      </w:r>
    </w:p>
    <w:p>
      <w:pPr>
        <w:spacing w:line="540" w:lineRule="exact"/>
        <w:ind w:firstLine="640" w:firstLineChars="200"/>
        <w:rPr>
          <w:rFonts w:hint="eastAsia" w:ascii="黑体" w:eastAsia="黑体"/>
          <w:sz w:val="32"/>
          <w:szCs w:val="32"/>
        </w:rPr>
      </w:pPr>
      <w:r>
        <w:rPr>
          <w:rFonts w:hint="eastAsia" w:ascii="黑体" w:eastAsia="黑体"/>
          <w:sz w:val="32"/>
          <w:szCs w:val="32"/>
        </w:rPr>
        <w:t>十、管理和审核制度</w:t>
      </w:r>
    </w:p>
    <w:p>
      <w:pPr>
        <w:spacing w:line="540" w:lineRule="exact"/>
        <w:ind w:firstLine="640" w:firstLineChars="200"/>
        <w:rPr>
          <w:rFonts w:hint="eastAsia" w:ascii="黑体" w:eastAsia="黑体"/>
          <w:sz w:val="32"/>
          <w:szCs w:val="32"/>
        </w:rPr>
      </w:pPr>
      <w:r>
        <w:rPr>
          <w:rFonts w:hint="eastAsia" w:ascii="仿宋_GB2312" w:eastAsia="仿宋_GB2312"/>
          <w:sz w:val="32"/>
          <w:szCs w:val="32"/>
        </w:rPr>
        <w:t>区医疗保障局、区财政局负责对定点医疗机构政策执行和药品管理等情况进行监督检查。</w:t>
      </w:r>
    </w:p>
    <w:p>
      <w:pPr>
        <w:spacing w:line="540" w:lineRule="exact"/>
        <w:ind w:firstLine="640" w:firstLineChars="200"/>
        <w:rPr>
          <w:rFonts w:ascii="黑体" w:eastAsia="黑体"/>
          <w:sz w:val="32"/>
          <w:szCs w:val="32"/>
        </w:rPr>
      </w:pPr>
      <w:r>
        <w:rPr>
          <w:rFonts w:hint="eastAsia" w:ascii="黑体" w:eastAsia="黑体"/>
          <w:sz w:val="32"/>
          <w:szCs w:val="32"/>
        </w:rPr>
        <w:t>十一、相关事项</w:t>
      </w:r>
    </w:p>
    <w:p>
      <w:pPr>
        <w:spacing w:line="540" w:lineRule="exact"/>
        <w:ind w:firstLine="640" w:firstLineChars="200"/>
        <w:rPr>
          <w:rFonts w:hint="eastAsia" w:ascii="仿宋_GB2312" w:eastAsia="仿宋_GB2312"/>
          <w:sz w:val="32"/>
          <w:szCs w:val="32"/>
        </w:rPr>
      </w:pPr>
      <w:r>
        <w:rPr>
          <w:rFonts w:hint="eastAsia" w:ascii="仿宋_GB2312" w:eastAsia="仿宋_GB2312"/>
          <w:sz w:val="32"/>
          <w:szCs w:val="32"/>
        </w:rPr>
        <w:t>各公费医疗单位要认真负责，积极配合，把公费医疗相关政策传达到每一位公费医疗人员。</w:t>
      </w:r>
    </w:p>
    <w:p>
      <w:pPr>
        <w:spacing w:line="540" w:lineRule="exact"/>
        <w:ind w:firstLine="640" w:firstLineChars="200"/>
        <w:rPr>
          <w:rFonts w:hint="eastAsia" w:ascii="仿宋_GB2312" w:eastAsia="仿宋_GB2312"/>
          <w:sz w:val="32"/>
          <w:szCs w:val="32"/>
        </w:rPr>
      </w:pPr>
      <w:r>
        <w:rPr>
          <w:rFonts w:hint="eastAsia" w:ascii="仿宋_GB2312" w:eastAsia="仿宋_GB2312"/>
          <w:sz w:val="32"/>
          <w:szCs w:val="32"/>
        </w:rPr>
        <w:t>本细则自印发之日起施行，有效期至2029年4月17日，原规定与本细则不一致的，以本细则为准。</w:t>
      </w:r>
    </w:p>
    <w:p>
      <w:pPr>
        <w:pStyle w:val="4"/>
        <w:spacing w:after="0" w:line="560" w:lineRule="exact"/>
        <w:rPr>
          <w:rFonts w:hint="eastAsia" w:ascii="仿宋_GB2312" w:eastAsia="仿宋_GB2312"/>
          <w:sz w:val="32"/>
          <w:szCs w:val="32"/>
        </w:rPr>
      </w:pPr>
    </w:p>
    <w:sectPr>
      <w:footerReference r:id="rId3" w:type="default"/>
      <w:footerReference r:id="rId4" w:type="even"/>
      <w:type w:val="oddPage"/>
      <w:pgSz w:w="11906" w:h="16838"/>
      <w:pgMar w:top="2098" w:right="1588" w:bottom="2098" w:left="1588" w:header="851" w:footer="1644"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lt;p&gt;">
    <w:altName w:val="Times New Roman"/>
    <w:panose1 w:val="00000000000000000000"/>
    <w:charset w:val="00"/>
    <w:family w:val="roman"/>
    <w:pitch w:val="default"/>
    <w:sig w:usb0="00000003" w:usb1="00000000" w:usb2="00000000" w:usb3="00000000" w:csb0="00000001" w:csb1="00000000"/>
  </w:font>
  <w:font w:name="微软雅黑">
    <w:panose1 w:val="020B0503020204020204"/>
    <w:charset w:val="86"/>
    <w:family w:val="swiss"/>
    <w:pitch w:val="default"/>
    <w:sig w:usb0="80000287" w:usb1="2ACF3C50" w:usb2="00000016" w:usb3="00000000" w:csb0="0004001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280"/>
      <w:jc w:val="right"/>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lang/>
      </w:rPr>
      <w:t xml:space="preserve"> 5 -</w:t>
    </w:r>
    <w:r>
      <w:rPr>
        <w:rFonts w:ascii="宋体" w:hAnsi="宋体"/>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280" w:firstLineChars="100"/>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lang/>
      </w:rPr>
      <w:t xml:space="preserve"> 6 -</w:t>
    </w:r>
    <w:r>
      <w:rPr>
        <w:rFonts w:ascii="宋体" w:hAnsi="宋体"/>
        <w:sz w:val="28"/>
        <w:szCs w:val="28"/>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2D2EAE"/>
    <w:multiLevelType w:val="multilevel"/>
    <w:tmpl w:val="412D2EAE"/>
    <w:lvl w:ilvl="0" w:tentative="0">
      <w:start w:val="1"/>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hyphenationZone w:val="360"/>
  <w:doNotHyphenateCaps/>
  <w:evenAndOddHeaders w:val="1"/>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6B0"/>
    <w:rsid w:val="00003767"/>
    <w:rsid w:val="00007CF0"/>
    <w:rsid w:val="00011966"/>
    <w:rsid w:val="00011BC2"/>
    <w:rsid w:val="00024F4E"/>
    <w:rsid w:val="000446A6"/>
    <w:rsid w:val="000457BB"/>
    <w:rsid w:val="00071789"/>
    <w:rsid w:val="00074505"/>
    <w:rsid w:val="00074F80"/>
    <w:rsid w:val="00080AEA"/>
    <w:rsid w:val="00085774"/>
    <w:rsid w:val="00085F06"/>
    <w:rsid w:val="0008659A"/>
    <w:rsid w:val="0009287E"/>
    <w:rsid w:val="000A0C3C"/>
    <w:rsid w:val="000C6A60"/>
    <w:rsid w:val="000D6B66"/>
    <w:rsid w:val="000E5FF7"/>
    <w:rsid w:val="000E69CA"/>
    <w:rsid w:val="000F413C"/>
    <w:rsid w:val="000F66C6"/>
    <w:rsid w:val="000F7AE3"/>
    <w:rsid w:val="00101F98"/>
    <w:rsid w:val="00110502"/>
    <w:rsid w:val="00111D1D"/>
    <w:rsid w:val="00115F57"/>
    <w:rsid w:val="00120AE5"/>
    <w:rsid w:val="00120E0B"/>
    <w:rsid w:val="001228F8"/>
    <w:rsid w:val="00132EA8"/>
    <w:rsid w:val="00142BAF"/>
    <w:rsid w:val="00175711"/>
    <w:rsid w:val="00186B28"/>
    <w:rsid w:val="00190767"/>
    <w:rsid w:val="001B7255"/>
    <w:rsid w:val="001C4308"/>
    <w:rsid w:val="001C76CC"/>
    <w:rsid w:val="001E2285"/>
    <w:rsid w:val="001F0CB8"/>
    <w:rsid w:val="001F3A8F"/>
    <w:rsid w:val="001F5522"/>
    <w:rsid w:val="00245726"/>
    <w:rsid w:val="00247767"/>
    <w:rsid w:val="0024798D"/>
    <w:rsid w:val="00250E7D"/>
    <w:rsid w:val="00254EBE"/>
    <w:rsid w:val="00261C81"/>
    <w:rsid w:val="00281E03"/>
    <w:rsid w:val="00282ED8"/>
    <w:rsid w:val="002862FB"/>
    <w:rsid w:val="002962E1"/>
    <w:rsid w:val="002A1695"/>
    <w:rsid w:val="002A256C"/>
    <w:rsid w:val="002B33B2"/>
    <w:rsid w:val="002B3C1E"/>
    <w:rsid w:val="002C0EF3"/>
    <w:rsid w:val="002C39B4"/>
    <w:rsid w:val="002C44DE"/>
    <w:rsid w:val="002C5A5A"/>
    <w:rsid w:val="002C6DEB"/>
    <w:rsid w:val="002D2A1A"/>
    <w:rsid w:val="002E36F3"/>
    <w:rsid w:val="002F14DA"/>
    <w:rsid w:val="00312E65"/>
    <w:rsid w:val="00321E72"/>
    <w:rsid w:val="0033218B"/>
    <w:rsid w:val="00340C66"/>
    <w:rsid w:val="003466E7"/>
    <w:rsid w:val="00351A91"/>
    <w:rsid w:val="00353113"/>
    <w:rsid w:val="00356DBC"/>
    <w:rsid w:val="0036797D"/>
    <w:rsid w:val="003707B6"/>
    <w:rsid w:val="00370F68"/>
    <w:rsid w:val="00380B4D"/>
    <w:rsid w:val="0038653B"/>
    <w:rsid w:val="00391EEB"/>
    <w:rsid w:val="003A0114"/>
    <w:rsid w:val="003A13F6"/>
    <w:rsid w:val="003A169C"/>
    <w:rsid w:val="003A48DE"/>
    <w:rsid w:val="003B5AD8"/>
    <w:rsid w:val="003B666E"/>
    <w:rsid w:val="003C4E63"/>
    <w:rsid w:val="003C4EC5"/>
    <w:rsid w:val="003C59EA"/>
    <w:rsid w:val="003D0568"/>
    <w:rsid w:val="003D11A0"/>
    <w:rsid w:val="003D41DF"/>
    <w:rsid w:val="003D4B4E"/>
    <w:rsid w:val="003E6374"/>
    <w:rsid w:val="003F33F3"/>
    <w:rsid w:val="003F35E1"/>
    <w:rsid w:val="00411376"/>
    <w:rsid w:val="0041570A"/>
    <w:rsid w:val="004238C0"/>
    <w:rsid w:val="004278C3"/>
    <w:rsid w:val="004363A1"/>
    <w:rsid w:val="004428B1"/>
    <w:rsid w:val="00452845"/>
    <w:rsid w:val="004532AE"/>
    <w:rsid w:val="00455045"/>
    <w:rsid w:val="00455FB6"/>
    <w:rsid w:val="00463F0E"/>
    <w:rsid w:val="00470B5F"/>
    <w:rsid w:val="0047508E"/>
    <w:rsid w:val="00481633"/>
    <w:rsid w:val="0048702F"/>
    <w:rsid w:val="004944FA"/>
    <w:rsid w:val="004A285D"/>
    <w:rsid w:val="004A7EDF"/>
    <w:rsid w:val="004B578D"/>
    <w:rsid w:val="004C341A"/>
    <w:rsid w:val="004C45DB"/>
    <w:rsid w:val="004E0898"/>
    <w:rsid w:val="004E0BBA"/>
    <w:rsid w:val="004E66F7"/>
    <w:rsid w:val="004F0CDB"/>
    <w:rsid w:val="004F7CD5"/>
    <w:rsid w:val="004F7FD9"/>
    <w:rsid w:val="00503A52"/>
    <w:rsid w:val="00515FFA"/>
    <w:rsid w:val="005232E2"/>
    <w:rsid w:val="00556BCE"/>
    <w:rsid w:val="005646B8"/>
    <w:rsid w:val="005668F5"/>
    <w:rsid w:val="00577125"/>
    <w:rsid w:val="005773A6"/>
    <w:rsid w:val="0058568E"/>
    <w:rsid w:val="00586E66"/>
    <w:rsid w:val="005A1049"/>
    <w:rsid w:val="005A3F08"/>
    <w:rsid w:val="005A59B2"/>
    <w:rsid w:val="005C088E"/>
    <w:rsid w:val="005D7E70"/>
    <w:rsid w:val="005E37DA"/>
    <w:rsid w:val="005E3947"/>
    <w:rsid w:val="005E4644"/>
    <w:rsid w:val="005F2E76"/>
    <w:rsid w:val="005F597F"/>
    <w:rsid w:val="006140DF"/>
    <w:rsid w:val="006207A6"/>
    <w:rsid w:val="00623890"/>
    <w:rsid w:val="00623895"/>
    <w:rsid w:val="00627189"/>
    <w:rsid w:val="00636F53"/>
    <w:rsid w:val="00642768"/>
    <w:rsid w:val="00646051"/>
    <w:rsid w:val="00651DE2"/>
    <w:rsid w:val="00662CA1"/>
    <w:rsid w:val="00670901"/>
    <w:rsid w:val="0068411A"/>
    <w:rsid w:val="006976F8"/>
    <w:rsid w:val="006A0F22"/>
    <w:rsid w:val="006A5944"/>
    <w:rsid w:val="006A5983"/>
    <w:rsid w:val="006C531B"/>
    <w:rsid w:val="006C56B0"/>
    <w:rsid w:val="006D0EBD"/>
    <w:rsid w:val="006D6C09"/>
    <w:rsid w:val="006D6FA0"/>
    <w:rsid w:val="006E6251"/>
    <w:rsid w:val="006E683F"/>
    <w:rsid w:val="006F3678"/>
    <w:rsid w:val="006F645A"/>
    <w:rsid w:val="00714118"/>
    <w:rsid w:val="00720466"/>
    <w:rsid w:val="00726BAA"/>
    <w:rsid w:val="00735F99"/>
    <w:rsid w:val="00741A7E"/>
    <w:rsid w:val="00761F81"/>
    <w:rsid w:val="00763F9A"/>
    <w:rsid w:val="00764CFA"/>
    <w:rsid w:val="00775E1F"/>
    <w:rsid w:val="0078557C"/>
    <w:rsid w:val="00786D17"/>
    <w:rsid w:val="00791745"/>
    <w:rsid w:val="007A1E28"/>
    <w:rsid w:val="007A1FE6"/>
    <w:rsid w:val="007A6068"/>
    <w:rsid w:val="007B217F"/>
    <w:rsid w:val="007C065D"/>
    <w:rsid w:val="007C1F04"/>
    <w:rsid w:val="007C2DEB"/>
    <w:rsid w:val="007C419E"/>
    <w:rsid w:val="007C5D15"/>
    <w:rsid w:val="007C79CD"/>
    <w:rsid w:val="007D37E5"/>
    <w:rsid w:val="007D616D"/>
    <w:rsid w:val="007E2EA6"/>
    <w:rsid w:val="007E37C1"/>
    <w:rsid w:val="007E40AF"/>
    <w:rsid w:val="007F67C8"/>
    <w:rsid w:val="008014BE"/>
    <w:rsid w:val="00804450"/>
    <w:rsid w:val="0081677F"/>
    <w:rsid w:val="00847296"/>
    <w:rsid w:val="008474FC"/>
    <w:rsid w:val="0085149C"/>
    <w:rsid w:val="00854FA8"/>
    <w:rsid w:val="008558F5"/>
    <w:rsid w:val="00864B5A"/>
    <w:rsid w:val="00866BDB"/>
    <w:rsid w:val="00872635"/>
    <w:rsid w:val="00877E4E"/>
    <w:rsid w:val="00882DB5"/>
    <w:rsid w:val="00885B46"/>
    <w:rsid w:val="008972D1"/>
    <w:rsid w:val="008A12BA"/>
    <w:rsid w:val="008E0E16"/>
    <w:rsid w:val="008E34E5"/>
    <w:rsid w:val="008F37DA"/>
    <w:rsid w:val="008F6B39"/>
    <w:rsid w:val="00901171"/>
    <w:rsid w:val="00901D05"/>
    <w:rsid w:val="00911403"/>
    <w:rsid w:val="00914620"/>
    <w:rsid w:val="009161A5"/>
    <w:rsid w:val="009244AD"/>
    <w:rsid w:val="0093071E"/>
    <w:rsid w:val="009332FA"/>
    <w:rsid w:val="00936C61"/>
    <w:rsid w:val="00957F6C"/>
    <w:rsid w:val="009647FD"/>
    <w:rsid w:val="00967F74"/>
    <w:rsid w:val="00970169"/>
    <w:rsid w:val="0097576A"/>
    <w:rsid w:val="00981036"/>
    <w:rsid w:val="00983D2E"/>
    <w:rsid w:val="00984B48"/>
    <w:rsid w:val="00984E93"/>
    <w:rsid w:val="009864A2"/>
    <w:rsid w:val="00992B48"/>
    <w:rsid w:val="00993C4D"/>
    <w:rsid w:val="009941B9"/>
    <w:rsid w:val="009A2E50"/>
    <w:rsid w:val="009C242A"/>
    <w:rsid w:val="009C5C48"/>
    <w:rsid w:val="009C624B"/>
    <w:rsid w:val="009D4FA8"/>
    <w:rsid w:val="009D6C75"/>
    <w:rsid w:val="009E0F27"/>
    <w:rsid w:val="009F6636"/>
    <w:rsid w:val="00A03D83"/>
    <w:rsid w:val="00A04316"/>
    <w:rsid w:val="00A04952"/>
    <w:rsid w:val="00A1060F"/>
    <w:rsid w:val="00A27D12"/>
    <w:rsid w:val="00A309E3"/>
    <w:rsid w:val="00A5329D"/>
    <w:rsid w:val="00A564EC"/>
    <w:rsid w:val="00A57EA7"/>
    <w:rsid w:val="00A83FCE"/>
    <w:rsid w:val="00A85886"/>
    <w:rsid w:val="00A90969"/>
    <w:rsid w:val="00A91DF8"/>
    <w:rsid w:val="00A95092"/>
    <w:rsid w:val="00AA3375"/>
    <w:rsid w:val="00AA5DBB"/>
    <w:rsid w:val="00AB1E2F"/>
    <w:rsid w:val="00AC0011"/>
    <w:rsid w:val="00AC27AC"/>
    <w:rsid w:val="00AE3671"/>
    <w:rsid w:val="00AE4996"/>
    <w:rsid w:val="00AE7DC7"/>
    <w:rsid w:val="00AF4609"/>
    <w:rsid w:val="00B0539F"/>
    <w:rsid w:val="00B069FD"/>
    <w:rsid w:val="00B23D80"/>
    <w:rsid w:val="00B31B86"/>
    <w:rsid w:val="00B3396D"/>
    <w:rsid w:val="00B37C3B"/>
    <w:rsid w:val="00B418A4"/>
    <w:rsid w:val="00B466BC"/>
    <w:rsid w:val="00B46C1F"/>
    <w:rsid w:val="00B61916"/>
    <w:rsid w:val="00B6566C"/>
    <w:rsid w:val="00B7525C"/>
    <w:rsid w:val="00B87969"/>
    <w:rsid w:val="00B9445C"/>
    <w:rsid w:val="00BA5D43"/>
    <w:rsid w:val="00BB12CA"/>
    <w:rsid w:val="00BC1BEE"/>
    <w:rsid w:val="00BC3752"/>
    <w:rsid w:val="00BD03E1"/>
    <w:rsid w:val="00BD782E"/>
    <w:rsid w:val="00BE2474"/>
    <w:rsid w:val="00BE2CB4"/>
    <w:rsid w:val="00BE4FED"/>
    <w:rsid w:val="00BF7DBA"/>
    <w:rsid w:val="00C14C28"/>
    <w:rsid w:val="00C222F3"/>
    <w:rsid w:val="00C22323"/>
    <w:rsid w:val="00C33380"/>
    <w:rsid w:val="00C3718F"/>
    <w:rsid w:val="00C37B5F"/>
    <w:rsid w:val="00C41719"/>
    <w:rsid w:val="00C46273"/>
    <w:rsid w:val="00C51B29"/>
    <w:rsid w:val="00C5311C"/>
    <w:rsid w:val="00C61264"/>
    <w:rsid w:val="00C714B1"/>
    <w:rsid w:val="00C7421B"/>
    <w:rsid w:val="00C80DE6"/>
    <w:rsid w:val="00C91F2C"/>
    <w:rsid w:val="00C92B82"/>
    <w:rsid w:val="00CA70F8"/>
    <w:rsid w:val="00CC315B"/>
    <w:rsid w:val="00CC5481"/>
    <w:rsid w:val="00CD46F4"/>
    <w:rsid w:val="00CE41A3"/>
    <w:rsid w:val="00CF2B54"/>
    <w:rsid w:val="00D15C9F"/>
    <w:rsid w:val="00D17E64"/>
    <w:rsid w:val="00D25FB0"/>
    <w:rsid w:val="00D31018"/>
    <w:rsid w:val="00D31C3B"/>
    <w:rsid w:val="00D441D9"/>
    <w:rsid w:val="00D508E8"/>
    <w:rsid w:val="00D549AE"/>
    <w:rsid w:val="00D55753"/>
    <w:rsid w:val="00D66393"/>
    <w:rsid w:val="00D70755"/>
    <w:rsid w:val="00D711B2"/>
    <w:rsid w:val="00D71421"/>
    <w:rsid w:val="00D72E1C"/>
    <w:rsid w:val="00D753D4"/>
    <w:rsid w:val="00D81CD0"/>
    <w:rsid w:val="00D82929"/>
    <w:rsid w:val="00D82CA0"/>
    <w:rsid w:val="00D8656F"/>
    <w:rsid w:val="00DB2267"/>
    <w:rsid w:val="00DB52A2"/>
    <w:rsid w:val="00DC01C3"/>
    <w:rsid w:val="00DC4439"/>
    <w:rsid w:val="00DC63E3"/>
    <w:rsid w:val="00DD0649"/>
    <w:rsid w:val="00DE032B"/>
    <w:rsid w:val="00DE5623"/>
    <w:rsid w:val="00DF64A6"/>
    <w:rsid w:val="00DF71BC"/>
    <w:rsid w:val="00E0636F"/>
    <w:rsid w:val="00E07C37"/>
    <w:rsid w:val="00E112AE"/>
    <w:rsid w:val="00E11DDA"/>
    <w:rsid w:val="00E120EF"/>
    <w:rsid w:val="00E15C85"/>
    <w:rsid w:val="00E16D44"/>
    <w:rsid w:val="00E22694"/>
    <w:rsid w:val="00E2514D"/>
    <w:rsid w:val="00E37D40"/>
    <w:rsid w:val="00E4186B"/>
    <w:rsid w:val="00E50405"/>
    <w:rsid w:val="00E520A4"/>
    <w:rsid w:val="00E679C7"/>
    <w:rsid w:val="00E738EB"/>
    <w:rsid w:val="00E751BB"/>
    <w:rsid w:val="00E832BE"/>
    <w:rsid w:val="00EB1F7B"/>
    <w:rsid w:val="00ED11D2"/>
    <w:rsid w:val="00EE5225"/>
    <w:rsid w:val="00EF04F3"/>
    <w:rsid w:val="00EF50E4"/>
    <w:rsid w:val="00F02648"/>
    <w:rsid w:val="00F10EF3"/>
    <w:rsid w:val="00F11E84"/>
    <w:rsid w:val="00F1395B"/>
    <w:rsid w:val="00F13CCD"/>
    <w:rsid w:val="00F22285"/>
    <w:rsid w:val="00F241A1"/>
    <w:rsid w:val="00F329D9"/>
    <w:rsid w:val="00F34B2A"/>
    <w:rsid w:val="00F41AAA"/>
    <w:rsid w:val="00F615DC"/>
    <w:rsid w:val="00F63480"/>
    <w:rsid w:val="00F6748E"/>
    <w:rsid w:val="00F7161D"/>
    <w:rsid w:val="00F72B9B"/>
    <w:rsid w:val="00F82079"/>
    <w:rsid w:val="00F85095"/>
    <w:rsid w:val="00F85F19"/>
    <w:rsid w:val="00F92E6A"/>
    <w:rsid w:val="00F93F14"/>
    <w:rsid w:val="00FA3D2A"/>
    <w:rsid w:val="00FA42BF"/>
    <w:rsid w:val="00FA49D0"/>
    <w:rsid w:val="00FA6985"/>
    <w:rsid w:val="00FB32AC"/>
    <w:rsid w:val="00FB4911"/>
    <w:rsid w:val="00FC3C49"/>
    <w:rsid w:val="00FC7CC2"/>
    <w:rsid w:val="00FD0E8D"/>
    <w:rsid w:val="00FD726E"/>
    <w:rsid w:val="00FE16D6"/>
    <w:rsid w:val="5BA56AF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uiPriority="99" w:semiHidden="0" w:name="Body Text"/>
    <w:lsdException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kern w:val="2"/>
      <w:sz w:val="21"/>
      <w:szCs w:val="21"/>
      <w:lang w:val="en-US" w:eastAsia="zh-CN" w:bidi="ar-SA"/>
    </w:rPr>
  </w:style>
  <w:style w:type="paragraph" w:styleId="2">
    <w:name w:val="heading 2"/>
    <w:basedOn w:val="1"/>
    <w:next w:val="1"/>
    <w:link w:val="30"/>
    <w:qFormat/>
    <w:locked/>
    <w:uiPriority w:val="9"/>
    <w:pPr>
      <w:keepNext/>
      <w:keepLines/>
      <w:spacing w:before="240" w:after="240" w:line="360" w:lineRule="auto"/>
      <w:ind w:firstLine="200" w:firstLineChars="200"/>
      <w:outlineLvl w:val="1"/>
    </w:pPr>
    <w:rPr>
      <w:rFonts w:ascii="Cambria" w:hAnsi="Cambria" w:eastAsia="黑体"/>
      <w:bCs/>
      <w:sz w:val="32"/>
      <w:szCs w:val="32"/>
    </w:rPr>
  </w:style>
  <w:style w:type="character" w:default="1" w:styleId="13">
    <w:name w:val="Default Paragraph Font"/>
    <w:unhideWhenUsed/>
    <w:uiPriority w:val="1"/>
  </w:style>
  <w:style w:type="table" w:default="1" w:styleId="11">
    <w:name w:val="Normal Table"/>
    <w:semiHidden/>
    <w:unhideWhenUsed/>
    <w:qFormat/>
    <w:uiPriority w:val="99"/>
    <w:tblPr>
      <w:tblStyle w:val="11"/>
      <w:tblCellMar>
        <w:top w:w="0" w:type="dxa"/>
        <w:left w:w="108" w:type="dxa"/>
        <w:bottom w:w="0" w:type="dxa"/>
        <w:right w:w="108" w:type="dxa"/>
      </w:tblCellMar>
    </w:tblPr>
    <w:trPr>
      <w:wBefore w:w="0" w:type="dxa"/>
    </w:trPr>
  </w:style>
  <w:style w:type="paragraph" w:styleId="3">
    <w:name w:val="index 5"/>
    <w:basedOn w:val="1"/>
    <w:next w:val="1"/>
    <w:qFormat/>
    <w:uiPriority w:val="0"/>
    <w:pPr>
      <w:widowControl/>
      <w:ind w:left="1680"/>
      <w:textAlignment w:val="baseline"/>
    </w:pPr>
    <w:rPr>
      <w:rFonts w:ascii="Calibri" w:hAnsi="Calibri"/>
      <w:szCs w:val="24"/>
    </w:rPr>
  </w:style>
  <w:style w:type="paragraph" w:styleId="4">
    <w:name w:val="Body Text"/>
    <w:basedOn w:val="1"/>
    <w:link w:val="21"/>
    <w:unhideWhenUsed/>
    <w:uiPriority w:val="99"/>
    <w:pPr>
      <w:spacing w:after="120"/>
    </w:pPr>
  </w:style>
  <w:style w:type="paragraph" w:styleId="5">
    <w:name w:val="Body Text Indent"/>
    <w:basedOn w:val="1"/>
    <w:link w:val="17"/>
    <w:uiPriority w:val="99"/>
    <w:pPr>
      <w:spacing w:line="360" w:lineRule="auto"/>
      <w:ind w:firstLine="640" w:firstLineChars="200"/>
    </w:pPr>
    <w:rPr>
      <w:rFonts w:ascii="仿宋" w:eastAsia="仿宋" w:cs="仿宋"/>
      <w:sz w:val="32"/>
      <w:szCs w:val="32"/>
    </w:rPr>
  </w:style>
  <w:style w:type="paragraph" w:styleId="6">
    <w:name w:val="Date"/>
    <w:basedOn w:val="1"/>
    <w:next w:val="1"/>
    <w:link w:val="24"/>
    <w:semiHidden/>
    <w:unhideWhenUsed/>
    <w:qFormat/>
    <w:uiPriority w:val="99"/>
    <w:pPr>
      <w:ind w:left="100" w:leftChars="2500"/>
    </w:pPr>
    <w:rPr>
      <w:rFonts w:ascii="Calibri" w:hAnsi="Calibri" w:eastAsia="宋体" w:cs="Times New Roman"/>
      <w:szCs w:val="22"/>
    </w:rPr>
  </w:style>
  <w:style w:type="paragraph" w:styleId="7">
    <w:name w:val="Balloon Text"/>
    <w:basedOn w:val="1"/>
    <w:link w:val="16"/>
    <w:semiHidden/>
    <w:qFormat/>
    <w:uiPriority w:val="99"/>
    <w:rPr>
      <w:sz w:val="18"/>
      <w:szCs w:val="18"/>
    </w:rPr>
  </w:style>
  <w:style w:type="paragraph" w:styleId="8">
    <w:name w:val="footer"/>
    <w:basedOn w:val="1"/>
    <w:link w:val="18"/>
    <w:qFormat/>
    <w:uiPriority w:val="99"/>
    <w:pPr>
      <w:tabs>
        <w:tab w:val="center" w:pos="4153"/>
        <w:tab w:val="right" w:pos="8306"/>
      </w:tabs>
      <w:snapToGrid w:val="0"/>
      <w:jc w:val="left"/>
    </w:pPr>
    <w:rPr>
      <w:sz w:val="18"/>
      <w:szCs w:val="18"/>
    </w:rPr>
  </w:style>
  <w:style w:type="paragraph" w:styleId="9">
    <w:name w:val="header"/>
    <w:basedOn w:val="1"/>
    <w:link w:val="19"/>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autoSpaceDE w:val="0"/>
      <w:autoSpaceDN w:val="0"/>
      <w:spacing w:before="100" w:beforeAutospacing="1" w:after="100" w:afterAutospacing="1"/>
      <w:jc w:val="left"/>
    </w:pPr>
    <w:rPr>
      <w:rFonts w:ascii="宋体" w:hAnsi="宋体"/>
      <w:kern w:val="0"/>
      <w:sz w:val="24"/>
      <w:szCs w:val="22"/>
    </w:rPr>
  </w:style>
  <w:style w:type="table" w:styleId="12">
    <w:name w:val="Table Grid"/>
    <w:basedOn w:val="11"/>
    <w:qFormat/>
    <w:uiPriority w:val="59"/>
    <w:pPr>
      <w:widowControl w:val="0"/>
      <w:jc w:val="both"/>
    </w:pPr>
    <w:rPr>
      <w:rFonts w:ascii="Times New Roman" w:hAnsi="Times New Roman"/>
      <w:kern w:val="0"/>
      <w:sz w:val="20"/>
      <w:szCs w:val="20"/>
    </w:rPr>
    <w:tblPr>
      <w:tblStyle w:val="1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qFormat/>
    <w:locked/>
    <w:uiPriority w:val="0"/>
    <w:rPr>
      <w:b/>
    </w:rPr>
  </w:style>
  <w:style w:type="character" w:styleId="15">
    <w:name w:val="page number"/>
    <w:basedOn w:val="13"/>
    <w:uiPriority w:val="99"/>
  </w:style>
  <w:style w:type="character" w:customStyle="1" w:styleId="16">
    <w:name w:val="批注框文本 Char"/>
    <w:link w:val="7"/>
    <w:semiHidden/>
    <w:qFormat/>
    <w:locked/>
    <w:uiPriority w:val="99"/>
    <w:rPr>
      <w:rFonts w:ascii="Times New Roman" w:hAnsi="Times New Roman" w:eastAsia="宋体" w:cs="Times New Roman"/>
      <w:sz w:val="18"/>
      <w:szCs w:val="18"/>
    </w:rPr>
  </w:style>
  <w:style w:type="character" w:customStyle="1" w:styleId="17">
    <w:name w:val="正文文本缩进 Char"/>
    <w:link w:val="5"/>
    <w:locked/>
    <w:uiPriority w:val="99"/>
    <w:rPr>
      <w:rFonts w:ascii="仿宋" w:hAnsi="Times New Roman" w:eastAsia="仿宋" w:cs="仿宋"/>
      <w:sz w:val="32"/>
      <w:szCs w:val="32"/>
    </w:rPr>
  </w:style>
  <w:style w:type="character" w:customStyle="1" w:styleId="18">
    <w:name w:val="页脚 Char"/>
    <w:link w:val="8"/>
    <w:qFormat/>
    <w:locked/>
    <w:uiPriority w:val="99"/>
    <w:rPr>
      <w:rFonts w:ascii="Times New Roman" w:hAnsi="Times New Roman" w:eastAsia="宋体" w:cs="Times New Roman"/>
      <w:sz w:val="18"/>
      <w:szCs w:val="18"/>
    </w:rPr>
  </w:style>
  <w:style w:type="character" w:customStyle="1" w:styleId="19">
    <w:name w:val="页眉 Char"/>
    <w:link w:val="9"/>
    <w:qFormat/>
    <w:locked/>
    <w:uiPriority w:val="99"/>
    <w:rPr>
      <w:rFonts w:ascii="Times New Roman" w:hAnsi="Times New Roman" w:eastAsia="宋体" w:cs="Times New Roman"/>
      <w:sz w:val="18"/>
      <w:szCs w:val="18"/>
    </w:rPr>
  </w:style>
  <w:style w:type="paragraph" w:customStyle="1" w:styleId="20">
    <w:name w:val="Char Char1 Char"/>
    <w:basedOn w:val="1"/>
    <w:uiPriority w:val="99"/>
    <w:rPr>
      <w:rFonts w:ascii="Tahoma" w:hAnsi="Tahoma" w:eastAsia="仿宋_GB2312" w:cs="Tahoma"/>
      <w:sz w:val="24"/>
      <w:szCs w:val="24"/>
    </w:rPr>
  </w:style>
  <w:style w:type="character" w:customStyle="1" w:styleId="21">
    <w:name w:val="正文文本 Char"/>
    <w:link w:val="4"/>
    <w:uiPriority w:val="99"/>
    <w:rPr>
      <w:rFonts w:ascii="Times New Roman" w:hAnsi="Times New Roman"/>
      <w:kern w:val="2"/>
      <w:sz w:val="21"/>
      <w:szCs w:val="21"/>
    </w:rPr>
  </w:style>
  <w:style w:type="character" w:customStyle="1" w:styleId="22">
    <w:name w:val="ask-title"/>
    <w:basedOn w:val="13"/>
    <w:uiPriority w:val="0"/>
  </w:style>
  <w:style w:type="paragraph" w:customStyle="1" w:styleId="23">
    <w:name w:val="p0"/>
    <w:basedOn w:val="1"/>
    <w:qFormat/>
    <w:uiPriority w:val="0"/>
    <w:pPr>
      <w:widowControl/>
      <w:jc w:val="left"/>
    </w:pPr>
    <w:rPr>
      <w:rFonts w:ascii="宋体" w:hAnsi="宋体" w:eastAsia="宋体" w:cs="宋体"/>
      <w:kern w:val="0"/>
      <w:sz w:val="24"/>
      <w:szCs w:val="24"/>
    </w:rPr>
  </w:style>
  <w:style w:type="character" w:customStyle="1" w:styleId="24">
    <w:name w:val="日期 Char"/>
    <w:link w:val="6"/>
    <w:semiHidden/>
    <w:qFormat/>
    <w:uiPriority w:val="99"/>
    <w:rPr>
      <w:rFonts w:ascii="Calibri" w:hAnsi="Calibri" w:eastAsia="宋体" w:cs="Times New Roman"/>
      <w:kern w:val="2"/>
      <w:sz w:val="21"/>
      <w:szCs w:val="22"/>
    </w:rPr>
  </w:style>
  <w:style w:type="paragraph" w:customStyle="1" w:styleId="25">
    <w:name w:val="Char"/>
    <w:basedOn w:val="1"/>
    <w:qFormat/>
    <w:uiPriority w:val="0"/>
    <w:rPr>
      <w:rFonts w:ascii="仿宋_GB2312" w:hAnsi="&lt;p&gt;" w:eastAsia="仿宋_GB2312" w:cs="仿宋_GB2312"/>
      <w:b/>
      <w:bCs/>
      <w:sz w:val="32"/>
      <w:szCs w:val="32"/>
    </w:rPr>
  </w:style>
  <w:style w:type="paragraph" w:styleId="26">
    <w:name w:val="List Paragraph"/>
    <w:basedOn w:val="1"/>
    <w:qFormat/>
    <w:uiPriority w:val="34"/>
    <w:pPr>
      <w:ind w:firstLine="420" w:firstLineChars="200"/>
    </w:pPr>
    <w:rPr>
      <w:rFonts w:ascii="Calibri" w:hAnsi="Calibri" w:eastAsia="宋体" w:cs="Times New Roman"/>
      <w:szCs w:val="22"/>
    </w:rPr>
  </w:style>
  <w:style w:type="paragraph" w:customStyle="1" w:styleId="27">
    <w:name w:val="Char Char Char Char Char Char Char Char Char Char"/>
    <w:basedOn w:val="1"/>
    <w:qFormat/>
    <w:uiPriority w:val="0"/>
    <w:pPr>
      <w:widowControl/>
      <w:spacing w:after="160" w:line="240" w:lineRule="exact"/>
      <w:jc w:val="left"/>
    </w:pPr>
    <w:rPr>
      <w:szCs w:val="20"/>
    </w:rPr>
  </w:style>
  <w:style w:type="paragraph" w:styleId="28">
    <w:name w:val="No Spacing"/>
    <w:qFormat/>
    <w:uiPriority w:val="1"/>
    <w:pPr>
      <w:adjustRightInd w:val="0"/>
      <w:snapToGrid w:val="0"/>
    </w:pPr>
    <w:rPr>
      <w:rFonts w:ascii="Tahoma" w:hAnsi="Tahoma" w:eastAsia="微软雅黑"/>
      <w:sz w:val="22"/>
      <w:szCs w:val="22"/>
      <w:lang w:val="en-US" w:eastAsia="zh-CN" w:bidi="ar-SA"/>
    </w:rPr>
  </w:style>
  <w:style w:type="character" w:customStyle="1" w:styleId="29">
    <w:name w:val="NormalCharacter"/>
    <w:qFormat/>
    <w:uiPriority w:val="0"/>
  </w:style>
  <w:style w:type="character" w:customStyle="1" w:styleId="30">
    <w:name w:val="标题 2 Char"/>
    <w:link w:val="2"/>
    <w:uiPriority w:val="9"/>
    <w:rPr>
      <w:rFonts w:ascii="Cambria" w:hAnsi="Cambria" w:eastAsia="黑体"/>
      <w:bCs/>
      <w:kern w:val="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MC SYSTEM</Company>
  <Pages>6</Pages>
  <Words>2512</Words>
  <Characters>2561</Characters>
  <Lines>18</Lines>
  <Paragraphs>5</Paragraphs>
  <TotalTime>17</TotalTime>
  <ScaleCrop>false</ScaleCrop>
  <LinksUpToDate>false</LinksUpToDate>
  <CharactersWithSpaces>2603</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2018-09-10T06:38:00Z</dcterms:created>
  <dc:creator>Administrator</dc:creator>
  <cp:lastModifiedBy>Gin</cp:lastModifiedBy>
  <cp:lastPrinted>2023-12-07T08:37:00Z</cp:lastPrinted>
  <dcterms:modified xsi:type="dcterms:W3CDTF">2024-05-06T01:49:01Z</dcterms:modified>
  <cp:revision>278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9156E765786442C58F896CF0D27F0A54_13</vt:lpwstr>
  </property>
</Properties>
</file>