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历下政发〔</w:t>
      </w:r>
      <w:r>
        <w:rPr>
          <w:rFonts w:ascii="仿宋_GB2312" w:eastAsia="仿宋_GB2312" w:cs="仿宋_GB2312"/>
          <w:sz w:val="32"/>
          <w:szCs w:val="32"/>
        </w:rPr>
        <w:t>20</w:t>
      </w:r>
      <w:r>
        <w:rPr>
          <w:rFonts w:hint="eastAsia" w:ascii="仿宋_GB2312" w:eastAsia="仿宋_GB2312" w:cs="仿宋_GB2312"/>
          <w:sz w:val="32"/>
          <w:szCs w:val="32"/>
        </w:rPr>
        <w:t>23〕3号</w:t>
      </w:r>
    </w:p>
    <w:p>
      <w:pPr>
        <w:spacing w:line="560" w:lineRule="exact"/>
        <w:jc w:val="center"/>
        <w:rPr>
          <w:rFonts w:ascii="仿宋_GB2312" w:eastAsia="仿宋_GB2312"/>
          <w:sz w:val="32"/>
          <w:szCs w:val="32"/>
        </w:rPr>
      </w:pPr>
    </w:p>
    <w:p>
      <w:pPr>
        <w:spacing w:line="560" w:lineRule="exact"/>
        <w:jc w:val="center"/>
        <w:rPr>
          <w:rFonts w:ascii="方正小标宋简体" w:hAnsi="宋体" w:eastAsia="方正小标宋简体" w:cs="方正小标宋简体"/>
          <w:sz w:val="44"/>
          <w:szCs w:val="44"/>
        </w:rPr>
      </w:pPr>
      <w:r>
        <w:rPr>
          <w:rFonts w:hint="eastAsia" w:ascii="方正小标宋简体" w:hAnsi="宋体" w:eastAsia="方正小标宋简体" w:cs="方正小标宋简体"/>
          <w:sz w:val="44"/>
          <w:szCs w:val="44"/>
        </w:rPr>
        <w:t>济南市历下区人民政府</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关于贯彻落实国家标准化发展纲要</w:t>
      </w:r>
    </w:p>
    <w:p>
      <w:pPr>
        <w:spacing w:line="560" w:lineRule="exact"/>
        <w:jc w:val="center"/>
        <w:rPr>
          <w:rFonts w:ascii="方正小标宋简体" w:eastAsia="方正小标宋简体" w:cs="方正小标宋简体"/>
          <w:spacing w:val="-14"/>
          <w:sz w:val="44"/>
          <w:szCs w:val="44"/>
        </w:rPr>
      </w:pPr>
      <w:r>
        <w:rPr>
          <w:rFonts w:hint="eastAsia" w:ascii="方正小标宋简体" w:hAnsi="方正小标宋简体" w:eastAsia="方正小标宋简体" w:cs="方正小标宋简体"/>
          <w:sz w:val="44"/>
          <w:szCs w:val="44"/>
        </w:rPr>
        <w:t>促进高质量发展的实施意见</w:t>
      </w:r>
    </w:p>
    <w:p>
      <w:pPr>
        <w:spacing w:line="560" w:lineRule="exact"/>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各街道办事处，区政府各部门（单位）：</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为贯彻落实《国家标准化发展纲要》《山东省人民政府关于贯彻〈国家标准化发展纲要〉推进标准化创新发展的实施意见》（鲁政发〔2022〕6号）以及《济南市人民政府关于落实国家标准化发展纲要促进高质量发展的实施意见》（济政发〔2022〕24号）等文件精神，全面加强标准化建设，更好发挥标准化在推进治理体系和治理能力现代化中的基础性、引领性作用，促进全区经济社会高质量发展，结合我区实际，提出本实施意见。</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一、总体要求</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（一）指导思想。</w:t>
      </w:r>
      <w:r>
        <w:rPr>
          <w:rFonts w:hint="eastAsia" w:ascii="仿宋_GB2312" w:eastAsia="仿宋_GB2312"/>
          <w:sz w:val="32"/>
          <w:szCs w:val="32"/>
        </w:rPr>
        <w:t>以习近平新时代中国特色社会主义思想为指导，深入贯彻落实党的二十大和二十届历次会议精神，紧紧围绕区第十三次党代会精神，积极创新标准化工作机制，推动标准化工作改革创新发展，加快构建高质量发展标准体系，充分发挥标准的基础性、战略性、引领性作用，为全面落实“双核引领、东西共进、两翼齐飞”发展战略、“总部经济和金融机构的聚集区、数字产业化的高地、城市高品质的标杆、共同富裕的示范样板”目标定位提供有力支撑。</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（二）工作目标。</w:t>
      </w:r>
      <w:r>
        <w:rPr>
          <w:rFonts w:hint="eastAsia" w:ascii="仿宋_GB2312" w:eastAsia="仿宋_GB2312"/>
          <w:sz w:val="32"/>
          <w:szCs w:val="32"/>
        </w:rPr>
        <w:t>到2025年，全区标准化高质量发展标准体系更加完善，标准化发展基础日益稳固、标准化创新能力大幅提升，标准化治理效能逐步增强，标准化综合能力更加凸显，打造全市标准化创新发展高地。制修订国际标准3项以上，国家标准、行业标准和地方标准150项以上；建设各类标准化试点示范项目10个以上；省级以上标准化技术组织达到30个以上。</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 完善科技创新标准体系。探索建立科技创新成果转化机制，推动科技创新与标准相互融合，提高科技成果转化率。畅通基础研究、应用技术、标准制定、产业推广的创新链条，强化科技成果转化为技术标准的能力，将标准与技术研发、知识产权、品牌建设有效融合，建设技术标准创新中心、共性技术标准创新平台、标准验证点等2个以上。</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 完善产业标准体系。构建新一代信息技术、智能制造、生物医药、信息技术应用创新等产业标准体系，促进标准质量水平提升。提升数字机器人、人工智能算法等新兴领域标准研发能力，促进产业高质量发展。培育标准创新型企业3个以上，原创技术标准3项以上。</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 完善社会治理和公共服务标准体系。提升社会治理和公共服务标准化水平，将标准化理念、方法融入社会治理，创新社会治理方式，创建社会治理标准化试点示范3个以上。基本公共服务标准体系逐步完善，培育公共服务标准化试点示范3个以上。</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4.</w:t>
      </w:r>
      <w:r>
        <w:rPr>
          <w:rFonts w:hint="eastAsia"/>
        </w:rPr>
        <w:t xml:space="preserve"> </w:t>
      </w:r>
      <w:r>
        <w:rPr>
          <w:rFonts w:hint="eastAsia" w:ascii="仿宋_GB2312" w:eastAsia="仿宋_GB2312"/>
          <w:sz w:val="32"/>
          <w:szCs w:val="32"/>
        </w:rPr>
        <w:t>完善高品质发展标准体系。孵化绿色低碳技术标准，促进低碳技术推广应用，制修订绿色低碳国家、行业、地方、团体标准10项以上。促进标准化对外开放，在智慧城市、监管链、城市运营等领域，制定国际标准3项以上、国家行业标准3项以上。</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到2035年，以质量效益为导向的全区高质量发展标准体系更加成熟，标准化创新能力全面跃升，标准化服务全区经济社会高质量发展的作用充分凸显。</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二、加强标准化与科技创新有效互动</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（一）健全科技创新向标准转化机制。</w:t>
      </w:r>
      <w:r>
        <w:rPr>
          <w:rFonts w:hint="eastAsia" w:ascii="仿宋_GB2312" w:eastAsia="仿宋_GB2312"/>
          <w:sz w:val="32"/>
          <w:szCs w:val="32"/>
        </w:rPr>
        <w:t>立足“产学研”一体化发展，加快科技创新和标准化成果转化应用，及时将先进适用科技创新成果融入标准，推动技术研发、标准研制与产业推广同步开展。发挥团体标准组织技术优势，探索创新成果转化团体标准，团体标准上升为国家、行业、地方标准的融合发展机制。围绕医养健康、先进材料、人工智能、金融科技等领域，推动高校、科研院所精准对接市场需求，积极探索技术专利化、专利标准化、标准产业化的有效途径。完善科技成果转化为标准的服务体系。</w:t>
      </w:r>
      <w:r>
        <w:rPr>
          <w:rFonts w:hint="eastAsia" w:ascii="楷体_GB2312" w:eastAsia="楷体_GB2312"/>
          <w:sz w:val="32"/>
          <w:szCs w:val="32"/>
        </w:rPr>
        <w:t>(区市场监管局、区科技局、区教体局等有关单位按职责分工负责)</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（二）落实企业标准化主体责任。</w:t>
      </w:r>
      <w:r>
        <w:rPr>
          <w:rFonts w:hint="eastAsia" w:ascii="仿宋_GB2312" w:eastAsia="仿宋_GB2312"/>
          <w:sz w:val="32"/>
          <w:szCs w:val="32"/>
        </w:rPr>
        <w:t>依托企业在标准化科研、人才、创新平台等方面的创新优势，整合标准化要素资源，以技术创新为主线，建立研发与标准同步转化机制，加快新技术、新产品、新业态、新模式等标准供给，推动科技成果快速进入市场、快速产业化，提升市场竞争力。梯次培育标准创新型企业，聚焦工业软件、智慧城市、人工智能、工业互联网等重点行业，以特色产业集群头部企业、高新技术企业、单项冠军企业、“专精特新”企业、“瞪羚”企业等龙头骨干企业为重点，研制更多原创性技术标准，推动一批先进标准的研制和应用。</w:t>
      </w:r>
      <w:r>
        <w:rPr>
          <w:rFonts w:hint="eastAsia" w:ascii="楷体_GB2312" w:eastAsia="楷体_GB2312"/>
          <w:sz w:val="32"/>
          <w:szCs w:val="32"/>
        </w:rPr>
        <w:t>(区市场监管局、区科技局牵头，区发改局、区工信局等有关单位按职责分工负责)</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（三）加强关键领域技术标准研制。</w:t>
      </w:r>
      <w:r>
        <w:rPr>
          <w:rFonts w:hint="eastAsia" w:ascii="仿宋_GB2312" w:eastAsia="仿宋_GB2312"/>
          <w:sz w:val="32"/>
          <w:szCs w:val="32"/>
        </w:rPr>
        <w:t>聚焦新旧动能转换、社会发展重大需求和科技攻关主要方向，围绕人工智能、信息技术、金融科技、生物医药等重点技术领域，加强规划引导，开展关键技术标准研究，推动科技创新、标准研制和产业升级一体化发展。聚焦云计算、数字机器人、工业软件、智能驾驶、智慧城市、人工智能算法六大领域，加快标准研制，助力新一代信息技术链式产业集群跃升。依托明湖国际细胞医学产业园省级生物医药产业研究平台，鼓励具有国际影响力的生物医药创新企业和研发中心开展标准研究，加快生物医药产业发展。</w:t>
      </w:r>
      <w:r>
        <w:rPr>
          <w:rFonts w:hint="eastAsia" w:ascii="楷体_GB2312" w:eastAsia="楷体_GB2312"/>
          <w:sz w:val="32"/>
          <w:szCs w:val="32"/>
        </w:rPr>
        <w:t>(区市场监管局、区科技局牵头，区发改局、区工信局、区卫健局等有关单位按职责分工负责)</w:t>
      </w:r>
    </w:p>
    <w:p>
      <w:pPr>
        <w:spacing w:line="540" w:lineRule="exact"/>
        <w:ind w:firstLine="640" w:firstLineChars="200"/>
        <w:rPr>
          <w:rFonts w:ascii="楷体_GB2312" w:eastAsia="楷体_GB2312"/>
          <w:sz w:val="32"/>
          <w:szCs w:val="32"/>
        </w:rPr>
      </w:pPr>
      <w:r>
        <w:rPr>
          <w:rFonts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3792220</wp:posOffset>
                </wp:positionV>
                <wp:extent cx="5590540" cy="3676650"/>
                <wp:effectExtent l="4445" t="4445" r="5715" b="14605"/>
                <wp:wrapSquare wrapText="bothSides"/>
                <wp:docPr id="1" name="文本框 1"/>
                <wp:cNvGraphicFramePr/>
                <a:graphic xmlns:a="http://schemas.openxmlformats.org/drawingml/2006/main">
                  <a:graphicData uri="http://schemas.microsoft.com/office/word/2010/wordprocessingShape">
                    <wps:wsp>
                      <wps:cNvSpPr txBox="1"/>
                      <wps:spPr>
                        <a:xfrm>
                          <a:off x="0" y="0"/>
                          <a:ext cx="5590540" cy="3676650"/>
                        </a:xfrm>
                        <a:prstGeom prst="rect">
                          <a:avLst/>
                        </a:prstGeom>
                        <a:solidFill>
                          <a:srgbClr val="FFFFFF"/>
                        </a:solidFill>
                        <a:ln w="6350" cap="flat" cmpd="sng">
                          <a:solidFill>
                            <a:srgbClr val="000000"/>
                          </a:solidFill>
                          <a:prstDash val="solid"/>
                          <a:miter/>
                          <a:headEnd type="none" w="med" len="med"/>
                          <a:tailEnd type="none" w="med" len="med"/>
                        </a:ln>
                      </wps:spPr>
                      <wps:txbx>
                        <w:txbxContent>
                          <w:p>
                            <w:pPr>
                              <w:spacing w:line="560" w:lineRule="exact"/>
                              <w:jc w:val="center"/>
                              <w:rPr>
                                <w:rFonts w:ascii="黑体" w:hAnsi="黑体" w:eastAsia="黑体"/>
                                <w:sz w:val="32"/>
                                <w:szCs w:val="32"/>
                              </w:rPr>
                            </w:pPr>
                            <w:r>
                              <w:rPr>
                                <w:rFonts w:hint="eastAsia" w:ascii="黑体" w:hAnsi="黑体" w:eastAsia="黑体"/>
                                <w:sz w:val="32"/>
                                <w:szCs w:val="32"/>
                              </w:rPr>
                              <w:t>专栏</w:t>
                            </w:r>
                            <w:r>
                              <w:rPr>
                                <w:rFonts w:ascii="黑体" w:hAnsi="黑体" w:eastAsia="黑体"/>
                                <w:sz w:val="32"/>
                                <w:szCs w:val="32"/>
                              </w:rPr>
                              <w:t>一</w:t>
                            </w:r>
                            <w:r>
                              <w:rPr>
                                <w:rFonts w:hint="eastAsia" w:ascii="黑体" w:hAnsi="黑体" w:eastAsia="黑体"/>
                                <w:sz w:val="32"/>
                                <w:szCs w:val="32"/>
                              </w:rPr>
                              <w:t xml:space="preserve"> 科技创新</w:t>
                            </w:r>
                            <w:r>
                              <w:rPr>
                                <w:rFonts w:ascii="黑体" w:hAnsi="黑体" w:eastAsia="黑体"/>
                                <w:sz w:val="32"/>
                                <w:szCs w:val="32"/>
                              </w:rPr>
                              <w:t>标准</w:t>
                            </w:r>
                            <w:r>
                              <w:rPr>
                                <w:rFonts w:hint="eastAsia" w:ascii="黑体" w:hAnsi="黑体" w:eastAsia="黑体"/>
                                <w:sz w:val="32"/>
                                <w:szCs w:val="32"/>
                              </w:rPr>
                              <w:t>化</w:t>
                            </w:r>
                            <w:r>
                              <w:rPr>
                                <w:rFonts w:ascii="黑体" w:hAnsi="黑体" w:eastAsia="黑体"/>
                                <w:sz w:val="32"/>
                                <w:szCs w:val="32"/>
                              </w:rPr>
                              <w:t>重点项目</w:t>
                            </w:r>
                          </w:p>
                          <w:p>
                            <w:pPr>
                              <w:spacing w:line="560" w:lineRule="exact"/>
                              <w:ind w:firstLine="640" w:firstLineChars="200"/>
                              <w:rPr>
                                <w:rFonts w:ascii="楷体_GB2312" w:hAnsi="黑体" w:eastAsia="楷体_GB2312"/>
                                <w:color w:val="000000" w:themeColor="text1"/>
                                <w:sz w:val="32"/>
                                <w:szCs w:val="32"/>
                              </w:rPr>
                            </w:pPr>
                            <w:r>
                              <w:rPr>
                                <w:rFonts w:hint="eastAsia" w:ascii="楷体_GB2312" w:hAnsi="黑体" w:eastAsia="楷体_GB2312"/>
                                <w:color w:val="000000" w:themeColor="text1"/>
                                <w:sz w:val="32"/>
                                <w:szCs w:val="32"/>
                              </w:rPr>
                              <w:t>一、国家标准研制。</w:t>
                            </w:r>
                            <w:r>
                              <w:rPr>
                                <w:rFonts w:hint="eastAsia" w:ascii="仿宋_GB2312" w:eastAsia="仿宋_GB2312"/>
                                <w:color w:val="000000" w:themeColor="text1"/>
                                <w:sz w:val="32"/>
                                <w:szCs w:val="32"/>
                              </w:rPr>
                              <w:t>加快研制工业软件、智慧城市、人工智能、工业互联网、生物医药、公共卫生、果品贮藏加工、有机化工材料等方面的国家标准。</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二、国家级项目、平台。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rPr>
                              <w:t xml:space="preserve"> </w:t>
                            </w:r>
                            <w:r>
                              <w:rPr>
                                <w:rFonts w:hint="eastAsia" w:ascii="仿宋_GB2312" w:eastAsia="仿宋_GB2312"/>
                                <w:sz w:val="32"/>
                                <w:szCs w:val="32"/>
                              </w:rPr>
                              <w:t>推进“天然产物国家标准样品示范”项目建设，建设标准样品研制复制基地；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eastAsia="仿宋_GB2312"/>
                                <w:color w:val="000000" w:themeColor="text1"/>
                                <w:sz w:val="32"/>
                                <w:szCs w:val="32"/>
                              </w:rPr>
                              <w:t>.</w:t>
                            </w:r>
                            <w:r>
                              <w:rPr>
                                <w:rFonts w:hint="eastAsia"/>
                              </w:rPr>
                              <w:t xml:space="preserve"> </w:t>
                            </w:r>
                            <w:r>
                              <w:rPr>
                                <w:rFonts w:hint="eastAsia" w:ascii="仿宋_GB2312" w:eastAsia="仿宋_GB2312"/>
                                <w:sz w:val="32"/>
                                <w:szCs w:val="32"/>
                              </w:rPr>
                              <w:t>争取新材料领域国家标准验证点。</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三、省级项目、平台。</w:t>
                            </w:r>
                            <w:r>
                              <w:rPr>
                                <w:rFonts w:hint="eastAsia" w:ascii="仿宋_GB2312" w:eastAsia="仿宋_GB2312"/>
                                <w:sz w:val="32"/>
                                <w:szCs w:val="32"/>
                              </w:rPr>
                              <w:t>建设团体标准组织发展能力指标体系。</w:t>
                            </w:r>
                          </w:p>
                        </w:txbxContent>
                      </wps:txbx>
                      <wps:bodyPr anchor="t" anchorCtr="0" upright="1"/>
                    </wps:wsp>
                  </a:graphicData>
                </a:graphic>
              </wp:anchor>
            </w:drawing>
          </mc:Choice>
          <mc:Fallback>
            <w:pict>
              <v:shape id="_x0000_s1026" o:spid="_x0000_s1026" o:spt="202" type="#_x0000_t202" style="position:absolute;left:0pt;margin-top:298.6pt;height:289.5pt;width:440.2pt;mso-position-horizontal:center;mso-wrap-distance-bottom:0pt;mso-wrap-distance-left:9pt;mso-wrap-distance-right:9pt;mso-wrap-distance-top:0pt;z-index:251659264;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">
                <v:fill on="t" focussize="0,0"/>
                <v:stroke weight="0.5pt" color="#000000" joinstyle="miter"/>
                <v:imagedata o:title=""/>
                <o:lock v:ext="edit" aspectratio="f"/>
                <v:textbox>
                  <w:txbxContent>
                    <w:p>
                      <w:pPr>
                        <w:spacing w:line="560" w:lineRule="exact"/>
                        <w:jc w:val="center"/>
                        <w:rPr>
                          <w:rFonts w:ascii="黑体" w:hAnsi="黑体" w:eastAsia="黑体"/>
                          <w:sz w:val="32"/>
                          <w:szCs w:val="32"/>
                        </w:rPr>
                      </w:pPr>
                      <w:r>
                        <w:rPr>
                          <w:rFonts w:hint="eastAsia" w:ascii="黑体" w:hAnsi="黑体" w:eastAsia="黑体"/>
                          <w:sz w:val="32"/>
                          <w:szCs w:val="32"/>
                        </w:rPr>
                        <w:t>专栏</w:t>
                      </w:r>
                      <w:r>
                        <w:rPr>
                          <w:rFonts w:ascii="黑体" w:hAnsi="黑体" w:eastAsia="黑体"/>
                          <w:sz w:val="32"/>
                          <w:szCs w:val="32"/>
                        </w:rPr>
                        <w:t>一</w:t>
                      </w:r>
                      <w:r>
                        <w:rPr>
                          <w:rFonts w:hint="eastAsia" w:ascii="黑体" w:hAnsi="黑体" w:eastAsia="黑体"/>
                          <w:sz w:val="32"/>
                          <w:szCs w:val="32"/>
                        </w:rPr>
                        <w:t xml:space="preserve"> 科技创新</w:t>
                      </w:r>
                      <w:r>
                        <w:rPr>
                          <w:rFonts w:ascii="黑体" w:hAnsi="黑体" w:eastAsia="黑体"/>
                          <w:sz w:val="32"/>
                          <w:szCs w:val="32"/>
                        </w:rPr>
                        <w:t>标准</w:t>
                      </w:r>
                      <w:r>
                        <w:rPr>
                          <w:rFonts w:hint="eastAsia" w:ascii="黑体" w:hAnsi="黑体" w:eastAsia="黑体"/>
                          <w:sz w:val="32"/>
                          <w:szCs w:val="32"/>
                        </w:rPr>
                        <w:t>化</w:t>
                      </w:r>
                      <w:r>
                        <w:rPr>
                          <w:rFonts w:ascii="黑体" w:hAnsi="黑体" w:eastAsia="黑体"/>
                          <w:sz w:val="32"/>
                          <w:szCs w:val="32"/>
                        </w:rPr>
                        <w:t>重点项目</w:t>
                      </w:r>
                    </w:p>
                    <w:p>
                      <w:pPr>
                        <w:spacing w:line="560" w:lineRule="exact"/>
                        <w:ind w:firstLine="640" w:firstLineChars="200"/>
                        <w:rPr>
                          <w:rFonts w:ascii="楷体_GB2312" w:hAnsi="黑体" w:eastAsia="楷体_GB2312"/>
                          <w:color w:val="000000" w:themeColor="text1"/>
                          <w:sz w:val="32"/>
                          <w:szCs w:val="32"/>
                        </w:rPr>
                      </w:pPr>
                      <w:r>
                        <w:rPr>
                          <w:rFonts w:hint="eastAsia" w:ascii="楷体_GB2312" w:hAnsi="黑体" w:eastAsia="楷体_GB2312"/>
                          <w:color w:val="000000" w:themeColor="text1"/>
                          <w:sz w:val="32"/>
                          <w:szCs w:val="32"/>
                        </w:rPr>
                        <w:t>一、国家标准研制。</w:t>
                      </w:r>
                      <w:r>
                        <w:rPr>
                          <w:rFonts w:hint="eastAsia" w:ascii="仿宋_GB2312" w:eastAsia="仿宋_GB2312"/>
                          <w:color w:val="000000" w:themeColor="text1"/>
                          <w:sz w:val="32"/>
                          <w:szCs w:val="32"/>
                        </w:rPr>
                        <w:t>加快研制工业软件、智慧城市、人工智能、工业互联网、生物医药、公共卫生、果品贮藏加工、有机化工材料等方面的国家标准。</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二、国家级项目、平台。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rPr>
                        <w:t xml:space="preserve"> </w:t>
                      </w:r>
                      <w:r>
                        <w:rPr>
                          <w:rFonts w:hint="eastAsia" w:ascii="仿宋_GB2312" w:eastAsia="仿宋_GB2312"/>
                          <w:sz w:val="32"/>
                          <w:szCs w:val="32"/>
                        </w:rPr>
                        <w:t>推进“天然产物国家标准样品示范”项目建设，建设标准样品研制复制基地；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eastAsia="仿宋_GB2312"/>
                          <w:color w:val="000000" w:themeColor="text1"/>
                          <w:sz w:val="32"/>
                          <w:szCs w:val="32"/>
                        </w:rPr>
                        <w:t>.</w:t>
                      </w:r>
                      <w:r>
                        <w:rPr>
                          <w:rFonts w:hint="eastAsia"/>
                        </w:rPr>
                        <w:t xml:space="preserve"> </w:t>
                      </w:r>
                      <w:r>
                        <w:rPr>
                          <w:rFonts w:hint="eastAsia" w:ascii="仿宋_GB2312" w:eastAsia="仿宋_GB2312"/>
                          <w:sz w:val="32"/>
                          <w:szCs w:val="32"/>
                        </w:rPr>
                        <w:t>争取新材料领域国家标准验证点。</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三、省级项目、平台。</w:t>
                      </w:r>
                      <w:r>
                        <w:rPr>
                          <w:rFonts w:hint="eastAsia" w:ascii="仿宋_GB2312" w:eastAsia="仿宋_GB2312"/>
                          <w:sz w:val="32"/>
                          <w:szCs w:val="32"/>
                        </w:rPr>
                        <w:t>建设团体标准组织发展能力指标体系。</w:t>
                      </w:r>
                    </w:p>
                  </w:txbxContent>
                </v:textbox>
                <w10:wrap type="square"/>
              </v:shape>
            </w:pict>
          </mc:Fallback>
        </mc:AlternateContent>
      </w:r>
      <w:r>
        <w:rPr>
          <w:rFonts w:hint="eastAsia" w:ascii="楷体_GB2312" w:eastAsia="楷体_GB2312"/>
          <w:sz w:val="32"/>
          <w:szCs w:val="32"/>
        </w:rPr>
        <w:t>（四）加强标准发展平台创新。</w:t>
      </w:r>
      <w:r>
        <w:rPr>
          <w:rFonts w:hint="eastAsia" w:ascii="仿宋_GB2312" w:eastAsia="仿宋_GB2312"/>
          <w:sz w:val="32"/>
          <w:szCs w:val="32"/>
        </w:rPr>
        <w:t>开展国家、省级专业标准化技术组织成员培育，支持科研院所、高等院校、龙头企业等申报国家级、省级标准化技术委员会、分委会以及工作组等，推动一批专业标准化技术组织落户我区。争创技术标准创新基地（中心）、标准验证点等，建设一批技术创新与标准研制同步的研发工作平台，推动科技研发、试验验证、工程化实现、产业推广一体化。鼓励企业根据需要联合上下游企业、科研院所、高校等组建标准创新联盟，有效对接科技和产业资源，突破一批“核心”技术标准，以标准链打通产业链、创新链、价值链。</w:t>
      </w:r>
      <w:r>
        <w:rPr>
          <w:rFonts w:hint="eastAsia" w:ascii="楷体_GB2312" w:eastAsia="楷体_GB2312"/>
          <w:sz w:val="32"/>
          <w:szCs w:val="32"/>
        </w:rPr>
        <w:t>(区市场监管局、区科技局牵头，区工信局、区教体局等有关单位按职责分工负责)</w:t>
      </w:r>
    </w:p>
    <w:p>
      <w:pPr>
        <w:spacing w:line="520" w:lineRule="exact"/>
        <w:ind w:firstLine="640" w:firstLineChars="200"/>
        <w:rPr>
          <w:rFonts w:ascii="黑体" w:hAnsi="黑体" w:eastAsia="黑体"/>
          <w:sz w:val="32"/>
          <w:szCs w:val="32"/>
        </w:rPr>
      </w:pPr>
      <w:r>
        <w:rPr>
          <w:rFonts w:ascii="黑体" w:hAnsi="黑体" w:eastAsia="黑体"/>
          <w:sz w:val="32"/>
          <w:szCs w:val="32"/>
        </w:rPr>
        <w:t xml:space="preserve"> </w:t>
      </w:r>
      <w:r>
        <w:rPr>
          <w:rFonts w:hint="eastAsia" w:ascii="黑体" w:hAnsi="黑体" w:eastAsia="黑体"/>
          <w:sz w:val="32"/>
          <w:szCs w:val="32"/>
        </w:rPr>
        <w:t>三、推动产业高质量发展</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（五）加强新兴产业标准化建设。</w:t>
      </w:r>
      <w:r>
        <w:rPr>
          <w:rFonts w:hint="eastAsia" w:ascii="仿宋_GB2312" w:eastAsia="仿宋_GB2312"/>
          <w:sz w:val="32"/>
          <w:szCs w:val="32"/>
        </w:rPr>
        <w:t>鼓励智能制造、生物医药、信息技术应用创新、高端定制等新兴产业研制先进团体标准，发挥团体标准在新技术、新产业、新业态、新模式推广应用中的“催化”作用。围绕华为、百度等行业龙头企业，积极联合上下游生态合作伙伴，开展标准制修订工作，加快培育壮大芯片设计、大数据、云计算、智能算法等新一代信息技术产业集群。依托华为“三个创新中心”等数字开发平台，大力推进智慧物流、电子商务、工业互联网、智能制造等技术标准创新突破。加强数字经济标准化建设，围绕大数据与新一代信息技术产业，重点发展高端软件、信息技术创新应用、人工智能、5G应用等领域，鼓励将数字经济相关前沿新技术、新产品等转化为具有引领性、竞争力的标准，健全数字经济标准体系，推动数字技术在智能制造、商业流通、公众服务等领域广泛应用。</w:t>
      </w:r>
      <w:r>
        <w:rPr>
          <w:rFonts w:hint="eastAsia" w:ascii="楷体_GB2312" w:eastAsia="楷体_GB2312"/>
          <w:sz w:val="32"/>
          <w:szCs w:val="32"/>
        </w:rPr>
        <w:t>(区工信局、区市场监管局牵头，区发改局、区科技局、区卫健局按职责分工负责)</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（六）提升产业链标准化水平。</w:t>
      </w:r>
      <w:r>
        <w:rPr>
          <w:rFonts w:hint="eastAsia" w:ascii="仿宋_GB2312" w:eastAsia="仿宋_GB2312"/>
          <w:sz w:val="32"/>
          <w:szCs w:val="32"/>
        </w:rPr>
        <w:t>推进标准化助力重点产业链提升工程，完善产业链发展配套的标准体系，引导企业联合上下游企业、高校、科研院所等制定产业链新产品、新技术、新工艺、新检验方法标准，促进产业链稳链、补链、延链、强链。围绕医疗康养、智能制造、生物医药、信创产业等产业集群，推动标准提升型产业集群建设，培育产业联盟组织，发展团体标准、企业联合标准，引领产业快速发展。</w:t>
      </w:r>
      <w:r>
        <w:rPr>
          <w:rFonts w:hint="eastAsia" w:ascii="楷体_GB2312" w:eastAsia="楷体_GB2312"/>
          <w:sz w:val="32"/>
          <w:szCs w:val="32"/>
        </w:rPr>
        <w:t>(区发改局、区工信局、区市场监管局等有关单位按职责分工负责)</w:t>
      </w:r>
    </w:p>
    <w:p>
      <w:pPr>
        <w:spacing w:line="560" w:lineRule="exact"/>
        <w:ind w:firstLine="420" w:firstLineChars="200"/>
        <w:rPr>
          <w:rFonts w:ascii="楷体_GB2312" w:eastAsia="楷体_GB2312"/>
          <w:sz w:val="32"/>
          <w:szCs w:val="32"/>
        </w:rPr>
      </w:pPr>
      <w: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4509770</wp:posOffset>
                </wp:positionV>
                <wp:extent cx="5631815" cy="2324100"/>
                <wp:effectExtent l="4445" t="4445" r="21590" b="14605"/>
                <wp:wrapSquare wrapText="bothSides"/>
                <wp:docPr id="2" name="文本框 3"/>
                <wp:cNvGraphicFramePr/>
                <a:graphic xmlns:a="http://schemas.openxmlformats.org/drawingml/2006/main">
                  <a:graphicData uri="http://schemas.microsoft.com/office/word/2010/wordprocessingShape">
                    <wps:wsp>
                      <wps:cNvSpPr txBox="1"/>
                      <wps:spPr>
                        <a:xfrm>
                          <a:off x="0" y="0"/>
                          <a:ext cx="5631815" cy="2324100"/>
                        </a:xfrm>
                        <a:prstGeom prst="rect">
                          <a:avLst/>
                        </a:prstGeom>
                        <a:solidFill>
                          <a:srgbClr val="FFFFFF"/>
                        </a:solidFill>
                        <a:ln w="6350" cap="flat" cmpd="sng">
                          <a:solidFill>
                            <a:srgbClr val="000000"/>
                          </a:solidFill>
                          <a:prstDash val="solid"/>
                          <a:miter/>
                          <a:headEnd type="none" w="med" len="med"/>
                          <a:tailEnd type="none" w="med" len="med"/>
                        </a:ln>
                      </wps:spPr>
                      <wps:txbx>
                        <w:txbxContent>
                          <w:p>
                            <w:pPr>
                              <w:spacing w:line="560" w:lineRule="exact"/>
                              <w:jc w:val="center"/>
                              <w:rPr>
                                <w:rFonts w:ascii="黑体" w:hAnsi="黑体" w:eastAsia="黑体"/>
                                <w:sz w:val="32"/>
                                <w:szCs w:val="32"/>
                              </w:rPr>
                            </w:pPr>
                            <w:r>
                              <w:rPr>
                                <w:rFonts w:hint="eastAsia" w:ascii="黑体" w:hAnsi="黑体" w:eastAsia="黑体"/>
                                <w:sz w:val="32"/>
                                <w:szCs w:val="32"/>
                              </w:rPr>
                              <w:t>专栏二 产业高质量发展标准化重点项目</w:t>
                            </w:r>
                          </w:p>
                          <w:p>
                            <w:pPr>
                              <w:pStyle w:val="14"/>
                              <w:spacing w:line="560" w:lineRule="exact"/>
                              <w:ind w:firstLine="640"/>
                              <w:rPr>
                                <w:rFonts w:ascii="楷体_GB2312" w:hAnsi="黑体" w:eastAsia="楷体_GB2312"/>
                                <w:sz w:val="32"/>
                                <w:szCs w:val="32"/>
                              </w:rPr>
                            </w:pPr>
                            <w:r>
                              <w:rPr>
                                <w:rFonts w:hint="eastAsia" w:ascii="楷体_GB2312" w:hAnsi="黑体" w:eastAsia="楷体_GB2312"/>
                                <w:sz w:val="32"/>
                                <w:szCs w:val="32"/>
                              </w:rPr>
                              <w:t>一、国家级</w:t>
                            </w:r>
                            <w:r>
                              <w:rPr>
                                <w:rFonts w:ascii="楷体_GB2312" w:hAnsi="黑体" w:eastAsia="楷体_GB2312"/>
                                <w:sz w:val="32"/>
                                <w:szCs w:val="32"/>
                              </w:rPr>
                              <w:t>项目、平台</w:t>
                            </w:r>
                            <w:r>
                              <w:rPr>
                                <w:rFonts w:hint="eastAsia" w:ascii="楷体_GB2312" w:hAnsi="黑体" w:eastAsia="楷体_GB2312"/>
                                <w:sz w:val="32"/>
                                <w:szCs w:val="32"/>
                              </w:rPr>
                              <w:t>。</w:t>
                            </w:r>
                            <w:r>
                              <w:rPr>
                                <w:rFonts w:hint="eastAsia" w:ascii="仿宋_GB2312" w:eastAsia="仿宋_GB2312"/>
                                <w:sz w:val="32"/>
                                <w:szCs w:val="32"/>
                              </w:rPr>
                              <w:t>推进智能展馆设计服务、贸易服务、餐饮分餐综合服务等标准化试点建设。</w:t>
                            </w:r>
                          </w:p>
                          <w:p>
                            <w:pPr>
                              <w:pStyle w:val="14"/>
                              <w:spacing w:line="560" w:lineRule="exact"/>
                              <w:ind w:firstLine="640"/>
                              <w:rPr>
                                <w:rFonts w:ascii="仿宋_GB2312" w:eastAsia="仿宋_GB2312"/>
                                <w:sz w:val="32"/>
                                <w:szCs w:val="32"/>
                              </w:rPr>
                            </w:pPr>
                            <w:r>
                              <w:rPr>
                                <w:rFonts w:hint="eastAsia" w:ascii="楷体_GB2312" w:eastAsia="楷体_GB2312"/>
                                <w:sz w:val="32"/>
                                <w:szCs w:val="32"/>
                              </w:rPr>
                              <w:t>二、省级项目、平台。</w:t>
                            </w:r>
                            <w:r>
                              <w:rPr>
                                <w:rFonts w:hint="eastAsia" w:ascii="仿宋_GB2312" w:eastAsia="仿宋_GB2312"/>
                                <w:sz w:val="32"/>
                                <w:szCs w:val="32"/>
                              </w:rPr>
                              <w:t>信息技术咨询服务、高速公路服务区服务、高速公路边坡光伏发电工程服务、贸易服务等标准化试点。</w:t>
                            </w:r>
                          </w:p>
                        </w:txbxContent>
                      </wps:txbx>
                      <wps:bodyPr anchor="t" anchorCtr="0" upright="1"/>
                    </wps:wsp>
                  </a:graphicData>
                </a:graphic>
              </wp:anchor>
            </w:drawing>
          </mc:Choice>
          <mc:Fallback>
            <w:pict>
              <v:shape id="文本框 3" o:spid="_x0000_s1026" o:spt="202" type="#_x0000_t202" style="position:absolute;left:0pt;margin-top:355.1pt;height:183pt;width:443.45pt;mso-position-horizontal:center;mso-wrap-distance-bottom:0pt;mso-wrap-distance-left:9pt;mso-wrap-distance-right:9pt;mso-wrap-distance-top:0pt;z-index:251660288;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">
                <v:fill on="t" focussize="0,0"/>
                <v:stroke weight="0.5pt" color="#000000" joinstyle="miter"/>
                <v:imagedata o:title=""/>
                <o:lock v:ext="edit" aspectratio="f"/>
                <v:textbox>
                  <w:txbxContent>
                    <w:p>
                      <w:pPr>
                        <w:spacing w:line="560" w:lineRule="exact"/>
                        <w:jc w:val="center"/>
                        <w:rPr>
                          <w:rFonts w:ascii="黑体" w:hAnsi="黑体" w:eastAsia="黑体"/>
                          <w:sz w:val="32"/>
                          <w:szCs w:val="32"/>
                        </w:rPr>
                      </w:pPr>
                      <w:r>
                        <w:rPr>
                          <w:rFonts w:hint="eastAsia" w:ascii="黑体" w:hAnsi="黑体" w:eastAsia="黑体"/>
                          <w:sz w:val="32"/>
                          <w:szCs w:val="32"/>
                        </w:rPr>
                        <w:t>专栏二 产业高质量发展标准化重点项目</w:t>
                      </w:r>
                    </w:p>
                    <w:p>
                      <w:pPr>
                        <w:pStyle w:val="14"/>
                        <w:spacing w:line="560" w:lineRule="exact"/>
                        <w:ind w:firstLine="640"/>
                        <w:rPr>
                          <w:rFonts w:ascii="楷体_GB2312" w:hAnsi="黑体" w:eastAsia="楷体_GB2312"/>
                          <w:sz w:val="32"/>
                          <w:szCs w:val="32"/>
                        </w:rPr>
                      </w:pPr>
                      <w:r>
                        <w:rPr>
                          <w:rFonts w:hint="eastAsia" w:ascii="楷体_GB2312" w:hAnsi="黑体" w:eastAsia="楷体_GB2312"/>
                          <w:sz w:val="32"/>
                          <w:szCs w:val="32"/>
                        </w:rPr>
                        <w:t>一、国家级</w:t>
                      </w:r>
                      <w:r>
                        <w:rPr>
                          <w:rFonts w:ascii="楷体_GB2312" w:hAnsi="黑体" w:eastAsia="楷体_GB2312"/>
                          <w:sz w:val="32"/>
                          <w:szCs w:val="32"/>
                        </w:rPr>
                        <w:t>项目、平台</w:t>
                      </w:r>
                      <w:r>
                        <w:rPr>
                          <w:rFonts w:hint="eastAsia" w:ascii="楷体_GB2312" w:hAnsi="黑体" w:eastAsia="楷体_GB2312"/>
                          <w:sz w:val="32"/>
                          <w:szCs w:val="32"/>
                        </w:rPr>
                        <w:t>。</w:t>
                      </w:r>
                      <w:r>
                        <w:rPr>
                          <w:rFonts w:hint="eastAsia" w:ascii="仿宋_GB2312" w:eastAsia="仿宋_GB2312"/>
                          <w:sz w:val="32"/>
                          <w:szCs w:val="32"/>
                        </w:rPr>
                        <w:t>推进智能展馆设计服务、贸易服务、餐饮分餐综合服务等标准化试点建设。</w:t>
                      </w:r>
                    </w:p>
                    <w:p>
                      <w:pPr>
                        <w:pStyle w:val="14"/>
                        <w:spacing w:line="560" w:lineRule="exact"/>
                        <w:ind w:firstLine="640"/>
                        <w:rPr>
                          <w:rFonts w:ascii="仿宋_GB2312" w:eastAsia="仿宋_GB2312"/>
                          <w:sz w:val="32"/>
                          <w:szCs w:val="32"/>
                        </w:rPr>
                      </w:pPr>
                      <w:r>
                        <w:rPr>
                          <w:rFonts w:hint="eastAsia" w:ascii="楷体_GB2312" w:eastAsia="楷体_GB2312"/>
                          <w:sz w:val="32"/>
                          <w:szCs w:val="32"/>
                        </w:rPr>
                        <w:t>二、省级项目、平台。</w:t>
                      </w:r>
                      <w:r>
                        <w:rPr>
                          <w:rFonts w:hint="eastAsia" w:ascii="仿宋_GB2312" w:eastAsia="仿宋_GB2312"/>
                          <w:sz w:val="32"/>
                          <w:szCs w:val="32"/>
                        </w:rPr>
                        <w:t>信息技术咨询服务、高速公路服务区服务、高速公路边坡光伏发电工程服务、贸易服务等标准化试点。</w:t>
                      </w:r>
                    </w:p>
                  </w:txbxContent>
                </v:textbox>
                <w10:wrap type="square"/>
              </v:shape>
            </w:pict>
          </mc:Fallback>
        </mc:AlternateContent>
      </w:r>
      <w:r>
        <w:rPr>
          <w:rFonts w:hint="eastAsia" w:ascii="楷体_GB2312" w:eastAsia="楷体_GB2312"/>
          <w:sz w:val="32"/>
          <w:szCs w:val="32"/>
        </w:rPr>
        <w:t>（七）实施服务业标准化提升。</w:t>
      </w:r>
      <w:r>
        <w:rPr>
          <w:rFonts w:hint="eastAsia" w:ascii="仿宋_GB2312" w:eastAsia="仿宋_GB2312"/>
          <w:sz w:val="32"/>
          <w:szCs w:val="32"/>
        </w:rPr>
        <w:t>健全服务业标准，推进服务业标准化、品牌化建设。聚焦现代金融、文化创意、总部经济、电子商务、商贸物流、服务外包等领域，加快形成与国际接轨的生产性服务业标准体系，助力实体经济发展。聚焦中介服务、专业咨询、会展会议等重点领域，实施商贸服务标准化提升行动，持续完善批发零售服务标准体系，加快提升商务服务国际化、专业化水准，引领商贸服务品质提升，进一步促进消费畅通内循环。聚焦家政服务、餐饮、物业管理、旅游、医养结合、养老服务等生活性服务业，组织开展标准化试点示范，为全市服务业发展探索积累可复制可推广的发展经验。</w:t>
      </w:r>
      <w:r>
        <w:rPr>
          <w:rFonts w:hint="eastAsia" w:ascii="楷体_GB2312" w:eastAsia="楷体_GB2312"/>
          <w:sz w:val="32"/>
          <w:szCs w:val="32"/>
        </w:rPr>
        <w:t>(区发改局、区工信局、区市场监管局、区商务局、区住建局、区文旅局、区卫健局、区人社局等有关单位按职责分工负责)</w:t>
      </w:r>
    </w:p>
    <w:p>
      <w:pPr>
        <w:spacing w:line="560" w:lineRule="exact"/>
        <w:ind w:firstLine="640" w:firstLineChars="200"/>
        <w:rPr>
          <w:rFonts w:ascii="仿宋_GB2312" w:eastAsia="仿宋_GB2312"/>
          <w:sz w:val="32"/>
          <w:szCs w:val="32"/>
        </w:rPr>
      </w:pPr>
      <w:r>
        <w:rPr>
          <w:rFonts w:ascii="仿宋_GB2312" w:eastAsia="仿宋_GB2312"/>
          <w:sz w:val="32"/>
          <w:szCs w:val="32"/>
        </w:rPr>
        <w:t xml:space="preserve"> </w:t>
      </w:r>
    </w:p>
    <w:p>
      <w:pPr>
        <w:spacing w:line="620" w:lineRule="exact"/>
        <w:ind w:firstLine="640" w:firstLineChars="200"/>
        <w:rPr>
          <w:rFonts w:ascii="黑体" w:hAnsi="黑体" w:eastAsia="黑体"/>
          <w:sz w:val="32"/>
          <w:szCs w:val="32"/>
        </w:rPr>
      </w:pPr>
      <w:r>
        <w:rPr>
          <w:rFonts w:hint="eastAsia" w:ascii="黑体" w:hAnsi="黑体" w:eastAsia="黑体"/>
          <w:sz w:val="32"/>
          <w:szCs w:val="32"/>
        </w:rPr>
        <w:t>四、提升社会治理和公共服务水平</w:t>
      </w:r>
    </w:p>
    <w:p>
      <w:pPr>
        <w:spacing w:line="620" w:lineRule="exact"/>
        <w:ind w:firstLine="640" w:firstLineChars="200"/>
        <w:rPr>
          <w:rFonts w:ascii="楷体_GB2312" w:eastAsia="楷体_GB2312"/>
          <w:sz w:val="32"/>
          <w:szCs w:val="32"/>
        </w:rPr>
      </w:pPr>
      <w:r>
        <w:rPr>
          <w:rFonts w:hint="eastAsia" w:ascii="楷体_GB2312" w:eastAsia="楷体_GB2312"/>
          <w:sz w:val="32"/>
          <w:szCs w:val="32"/>
        </w:rPr>
        <w:t>（八）加强社会治理标准化建设。</w:t>
      </w:r>
      <w:r>
        <w:rPr>
          <w:rFonts w:hint="eastAsia" w:ascii="仿宋_GB2312" w:eastAsia="仿宋_GB2312"/>
          <w:sz w:val="32"/>
          <w:szCs w:val="32"/>
        </w:rPr>
        <w:t>将大数据、人工智能、区块链、物联网、5G等技术和CIM、BIM等新型智慧城市建设研究成果标准化，在城市管理、市场监管、环境监测、治安管理、基层治理等领域推广应用，创新社会治理方式，打造“智慧历下”。以创建全国城市管理标准化试点单位为契机，实施城市管理“标准化”落地工程，聚焦城市精细化管理，提高城市管理“历下标准”在全国的影响力，彰显“历下城管”效应。加强政府数据标准化建设，促进政府数据互通共享，探索开展城市运行“一网统管”跨部门多场景应用标准化试点，助力“数字历下”建设。围绕行政许可、政务服务等领域开展标准化提升工程，加快建立涵盖行政许可“全事项、全过程、各环节”的标准体系，推进“无证明”服务标准化，赋能“无证明城区”建设。</w:t>
      </w:r>
      <w:r>
        <w:rPr>
          <w:rFonts w:hint="eastAsia" w:ascii="楷体_GB2312" w:eastAsia="楷体_GB2312"/>
          <w:sz w:val="32"/>
          <w:szCs w:val="32"/>
        </w:rPr>
        <w:t>(区发改局、区行政审批服务局、区市场监管局、区应急管理局、区城管局、区卫健局、区城市运行指挥中心、区大数据局等有关单位按职责分工负责)</w:t>
      </w:r>
    </w:p>
    <w:p>
      <w:pPr>
        <w:spacing w:line="620" w:lineRule="exact"/>
        <w:ind w:firstLine="640" w:firstLineChars="200"/>
        <w:rPr>
          <w:rFonts w:ascii="仿宋_GB2312" w:eastAsia="仿宋_GB2312"/>
          <w:sz w:val="32"/>
          <w:szCs w:val="32"/>
        </w:rPr>
      </w:pPr>
      <w:r>
        <w:rPr>
          <w:rFonts w:hint="eastAsia" w:ascii="楷体_GB2312" w:eastAsia="楷体_GB2312"/>
          <w:sz w:val="32"/>
          <w:szCs w:val="32"/>
        </w:rPr>
        <w:t>（九）推进公共服务标准化进程。</w:t>
      </w:r>
      <w:r>
        <w:rPr>
          <w:rFonts w:hint="eastAsia" w:ascii="仿宋_GB2312" w:eastAsia="仿宋_GB2312"/>
          <w:sz w:val="32"/>
          <w:szCs w:val="32"/>
        </w:rPr>
        <w:t>加快完善幼有所育、学有所教、劳有所得、病有所医、老有所养、住有所居、弱有所扶的基本公共服务标准体系，以标准化促进公共服务均等化。在劳动就业、社会保险、公共教育、公共卫生、公共文化、公共交通等领域健全标准体系，积极总结推广济南公交、百合幼儿园、历下城管、高速公路服务区物业服务等公共服务标准化试点经验，进一步方便群众办事。健全残疾人基本公共服务标准、规范，提高康复服务规范化水平。</w:t>
      </w:r>
      <w:r>
        <w:rPr>
          <w:rFonts w:hint="eastAsia" w:ascii="楷体_GB2312" w:eastAsia="楷体_GB2312"/>
          <w:sz w:val="32"/>
          <w:szCs w:val="32"/>
        </w:rPr>
        <w:t>(区民政局、区市场监管局、区教体局、区卫健局、区人社局、区残联等有关单位按职责分工负责)</w:t>
      </w:r>
    </w:p>
    <w:p>
      <w:pPr>
        <w:spacing w:line="620" w:lineRule="exact"/>
        <w:ind w:firstLine="640" w:firstLineChars="200"/>
        <w:rPr>
          <w:rFonts w:ascii="楷体_GB2312" w:eastAsia="楷体_GB2312"/>
          <w:sz w:val="32"/>
          <w:szCs w:val="32"/>
        </w:rPr>
      </w:pPr>
      <w:r>
        <w:rPr>
          <w:rFonts w:hint="eastAsia" w:ascii="楷体_GB2312" w:eastAsia="楷体_GB2312"/>
          <w:sz w:val="32"/>
          <w:szCs w:val="32"/>
        </w:rPr>
        <w:t>（十）完善公共安全标准化保障。</w:t>
      </w:r>
      <w:r>
        <w:rPr>
          <w:rFonts w:hint="eastAsia" w:ascii="仿宋_GB2312" w:eastAsia="仿宋_GB2312"/>
          <w:sz w:val="32"/>
          <w:szCs w:val="32"/>
        </w:rPr>
        <w:t>进一步完善公共安全领域标准，推动矿山安全、危险化学品、应急管理、交通运输、特种设备、粮食和物资储备等领域标准实施与应用，推进更高水平“平安历下”建设。推进化工、建设施工、道路交通、森林防火、特种设备等重点领域安全生产标准实施，开展企业安全生产标准化定级管理。围绕构建“大应急、大安全”格局，针对自然灾害和事故灾难、公共卫生事件、社会安全事件等各类突发事件，建立预防与应急准备、监测与预警、应急处置救援、恢复重建等全过程的综合标准体系。制定应急预案编制导则和标准，构建覆盖全区域、全灾种、全行业、全层级、全过程的应急预案体系，加强应急预案可行性评估。</w:t>
      </w:r>
      <w:r>
        <w:rPr>
          <w:rFonts w:hint="eastAsia" w:ascii="楷体_GB2312" w:eastAsia="楷体_GB2312"/>
          <w:sz w:val="32"/>
          <w:szCs w:val="32"/>
        </w:rPr>
        <w:t>(区发改局、区工信局、区市场监管局、区应急管理局、区住建局、区市政工程服务中心、区卫健局、区公安分局等有关单位按职责分工负责)</w:t>
      </w:r>
    </w:p>
    <w:p>
      <w:pPr>
        <w:spacing w:line="560" w:lineRule="exact"/>
        <w:ind w:firstLine="640" w:firstLineChars="200"/>
        <w:rPr>
          <w:rFonts w:ascii="黑体" w:hAnsi="黑体" w:eastAsia="黑体"/>
          <w:sz w:val="32"/>
          <w:szCs w:val="32"/>
        </w:rPr>
      </w:pPr>
      <w:r>
        <w:rPr>
          <w:rFonts w:ascii="仿宋_GB2312" w:eastAsia="仿宋_GB2312"/>
          <w:sz w:val="32"/>
          <w:szCs w:val="32"/>
        </w:rPr>
        <w:t xml:space="preserve"> </w:t>
      </w:r>
      <w:r>
        <w:rPr>
          <w:rFonts w:ascii="黑体" w:hAnsi="黑体" w:eastAsia="黑体"/>
          <w:sz w:val="32"/>
          <w:szCs w:val="32"/>
        </w:rPr>
        <mc:AlternateContent>
          <mc:Choice Requires="wps">
            <w:drawing>
              <wp:anchor distT="0" distB="0" distL="114300" distR="114300" simplePos="0" relativeHeight="251661312" behindDoc="0" locked="0" layoutInCell="1" allowOverlap="1">
                <wp:simplePos x="0" y="0"/>
                <wp:positionH relativeFrom="column">
                  <wp:posOffset>-40640</wp:posOffset>
                </wp:positionH>
                <wp:positionV relativeFrom="paragraph">
                  <wp:posOffset>172720</wp:posOffset>
                </wp:positionV>
                <wp:extent cx="5620385" cy="4391025"/>
                <wp:effectExtent l="4445" t="4445" r="13970" b="5080"/>
                <wp:wrapSquare wrapText="bothSides"/>
                <wp:docPr id="3" name="文本框 4"/>
                <wp:cNvGraphicFramePr/>
                <a:graphic xmlns:a="http://schemas.openxmlformats.org/drawingml/2006/main">
                  <a:graphicData uri="http://schemas.microsoft.com/office/word/2010/wordprocessingShape">
                    <wps:wsp>
                      <wps:cNvSpPr txBox="1"/>
                      <wps:spPr>
                        <a:xfrm>
                          <a:off x="0" y="0"/>
                          <a:ext cx="5620385" cy="4391025"/>
                        </a:xfrm>
                        <a:prstGeom prst="rect">
                          <a:avLst/>
                        </a:prstGeom>
                        <a:solidFill>
                          <a:srgbClr val="FFFFFF"/>
                        </a:solidFill>
                        <a:ln w="6350" cap="flat" cmpd="sng">
                          <a:solidFill>
                            <a:srgbClr val="000000"/>
                          </a:solidFill>
                          <a:prstDash val="solid"/>
                          <a:miter/>
                          <a:headEnd type="none" w="med" len="med"/>
                          <a:tailEnd type="none" w="med" len="med"/>
                        </a:ln>
                      </wps:spPr>
                      <wps:txbx>
                        <w:txbxContent>
                          <w:p>
                            <w:pPr>
                              <w:spacing w:line="560" w:lineRule="exact"/>
                              <w:jc w:val="center"/>
                              <w:rPr>
                                <w:rFonts w:ascii="黑体" w:hAnsi="黑体" w:eastAsia="黑体"/>
                                <w:sz w:val="32"/>
                                <w:szCs w:val="32"/>
                              </w:rPr>
                            </w:pPr>
                            <w:r>
                              <w:rPr>
                                <w:rFonts w:hint="eastAsia" w:ascii="黑体" w:hAnsi="黑体" w:eastAsia="黑体"/>
                                <w:sz w:val="32"/>
                                <w:szCs w:val="32"/>
                              </w:rPr>
                              <w:t>专栏三 社会治理和公共服务标准化重点项目</w:t>
                            </w:r>
                          </w:p>
                          <w:p>
                            <w:pPr>
                              <w:pStyle w:val="14"/>
                              <w:spacing w:line="560" w:lineRule="exact"/>
                              <w:ind w:firstLine="640"/>
                              <w:rPr>
                                <w:rFonts w:ascii="楷体_GB2312" w:hAnsi="黑体" w:eastAsia="楷体_GB2312"/>
                                <w:sz w:val="32"/>
                                <w:szCs w:val="32"/>
                              </w:rPr>
                            </w:pPr>
                            <w:r>
                              <w:rPr>
                                <w:rFonts w:hint="eastAsia" w:ascii="楷体_GB2312" w:hAnsi="黑体" w:eastAsia="楷体_GB2312"/>
                                <w:sz w:val="32"/>
                                <w:szCs w:val="32"/>
                              </w:rPr>
                              <w:t>一、国家级</w:t>
                            </w:r>
                            <w:r>
                              <w:rPr>
                                <w:rFonts w:ascii="楷体_GB2312" w:hAnsi="黑体" w:eastAsia="楷体_GB2312"/>
                                <w:sz w:val="32"/>
                                <w:szCs w:val="32"/>
                              </w:rPr>
                              <w:t>项目、平台</w:t>
                            </w:r>
                            <w:r>
                              <w:rPr>
                                <w:rFonts w:hint="eastAsia" w:ascii="楷体_GB2312" w:hAnsi="黑体" w:eastAsia="楷体_GB2312"/>
                                <w:sz w:val="32"/>
                                <w:szCs w:val="32"/>
                              </w:rPr>
                              <w:t>。</w:t>
                            </w:r>
                            <w:r>
                              <w:rPr>
                                <w:rFonts w:hint="eastAsia" w:ascii="仿宋_GB2312" w:eastAsia="仿宋_GB2312"/>
                                <w:sz w:val="32"/>
                                <w:szCs w:val="32"/>
                              </w:rPr>
                              <w:t>推进车辆管理服务、城市智慧管理、残疾人托养服务等标准化项目建设。</w:t>
                            </w:r>
                          </w:p>
                          <w:p>
                            <w:pPr>
                              <w:pStyle w:val="14"/>
                              <w:spacing w:line="560" w:lineRule="exact"/>
                              <w:ind w:firstLine="640"/>
                              <w:rPr>
                                <w:rFonts w:ascii="楷体_GB2312" w:eastAsia="楷体_GB2312"/>
                                <w:sz w:val="32"/>
                                <w:szCs w:val="32"/>
                              </w:rPr>
                            </w:pPr>
                            <w:r>
                              <w:rPr>
                                <w:rFonts w:hint="eastAsia" w:ascii="楷体_GB2312" w:eastAsia="楷体_GB2312"/>
                                <w:sz w:val="32"/>
                                <w:szCs w:val="32"/>
                              </w:rPr>
                              <w:t>二、省级项目、平台。</w:t>
                            </w:r>
                            <w:r>
                              <w:rPr>
                                <w:rFonts w:hint="eastAsia" w:ascii="仿宋_GB2312" w:eastAsia="仿宋_GB2312"/>
                                <w:sz w:val="32"/>
                                <w:szCs w:val="32"/>
                              </w:rPr>
                              <w:t>小学教育服务、基层助老助残综合服务、现代医疗综合服务、医院无陪护服务、城镇残疾人日间照料托养服务、“如康家园”残疾人之家服务、政府采购（线上）服务、高脂血症性胰腺炎血液净化治疗、TIPS的术后护理、健康体检服务、影像引导下热消融治疗肺小结节的临床应用、医用物资智慧物流、道地中药材全产业链、节气药膳研发推广、山东省护理学会服务等标准化试点项目建设。</w:t>
                            </w:r>
                          </w:p>
                          <w:p>
                            <w:pPr>
                              <w:pStyle w:val="14"/>
                              <w:spacing w:line="560" w:lineRule="exact"/>
                              <w:ind w:firstLine="640"/>
                              <w:rPr>
                                <w:rFonts w:ascii="楷体_GB2312" w:eastAsia="楷体_GB2312"/>
                                <w:sz w:val="32"/>
                                <w:szCs w:val="32"/>
                              </w:rPr>
                            </w:pPr>
                            <w:r>
                              <w:rPr>
                                <w:rFonts w:hint="eastAsia" w:ascii="楷体_GB2312" w:eastAsia="楷体_GB2312"/>
                                <w:sz w:val="32"/>
                                <w:szCs w:val="32"/>
                              </w:rPr>
                              <w:t>三、完善标准体系。</w:t>
                            </w:r>
                            <w:r>
                              <w:rPr>
                                <w:rFonts w:hint="eastAsia" w:ascii="仿宋_GB2312" w:eastAsia="仿宋_GB2312"/>
                                <w:sz w:val="32"/>
                                <w:szCs w:val="32"/>
                              </w:rPr>
                              <w:t>修订完善我区垃圾分类、市容管理、环境卫生管理、智慧城市管理等标准。</w:t>
                            </w:r>
                          </w:p>
                        </w:txbxContent>
                      </wps:txbx>
                      <wps:bodyPr wrap="square" anchor="t" anchorCtr="0" upright="1"/>
                    </wps:wsp>
                  </a:graphicData>
                </a:graphic>
              </wp:anchor>
            </w:drawing>
          </mc:Choice>
          <mc:Fallback>
            <w:pict>
              <v:shape id="文本框 4" o:spid="_x0000_s1026" o:spt="202" type="#_x0000_t202" style="position:absolute;left:0pt;margin-left:-3.2pt;margin-top:13.6pt;height:345.75pt;width:442.55pt;mso-wrap-distance-bottom:0pt;mso-wrap-distance-left:9pt;mso-wrap-distance-right:9pt;mso-wrap-distance-top:0pt;z-index:251661312;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">
                <v:fill on="t" focussize="0,0"/>
                <v:stroke weight="0.5pt" color="#000000" joinstyle="miter"/>
                <v:imagedata o:title=""/>
                <o:lock v:ext="edit" aspectratio="f"/>
                <v:textbox>
                  <w:txbxContent>
                    <w:p>
                      <w:pPr>
                        <w:spacing w:line="560" w:lineRule="exact"/>
                        <w:jc w:val="center"/>
                        <w:rPr>
                          <w:rFonts w:ascii="黑体" w:hAnsi="黑体" w:eastAsia="黑体"/>
                          <w:sz w:val="32"/>
                          <w:szCs w:val="32"/>
                        </w:rPr>
                      </w:pPr>
                      <w:r>
                        <w:rPr>
                          <w:rFonts w:hint="eastAsia" w:ascii="黑体" w:hAnsi="黑体" w:eastAsia="黑体"/>
                          <w:sz w:val="32"/>
                          <w:szCs w:val="32"/>
                        </w:rPr>
                        <w:t>专栏三 社会治理和公共服务标准化重点项目</w:t>
                      </w:r>
                    </w:p>
                    <w:p>
                      <w:pPr>
                        <w:pStyle w:val="14"/>
                        <w:spacing w:line="560" w:lineRule="exact"/>
                        <w:ind w:firstLine="640"/>
                        <w:rPr>
                          <w:rFonts w:ascii="楷体_GB2312" w:hAnsi="黑体" w:eastAsia="楷体_GB2312"/>
                          <w:sz w:val="32"/>
                          <w:szCs w:val="32"/>
                        </w:rPr>
                      </w:pPr>
                      <w:r>
                        <w:rPr>
                          <w:rFonts w:hint="eastAsia" w:ascii="楷体_GB2312" w:hAnsi="黑体" w:eastAsia="楷体_GB2312"/>
                          <w:sz w:val="32"/>
                          <w:szCs w:val="32"/>
                        </w:rPr>
                        <w:t>一、国家级</w:t>
                      </w:r>
                      <w:r>
                        <w:rPr>
                          <w:rFonts w:ascii="楷体_GB2312" w:hAnsi="黑体" w:eastAsia="楷体_GB2312"/>
                          <w:sz w:val="32"/>
                          <w:szCs w:val="32"/>
                        </w:rPr>
                        <w:t>项目、平台</w:t>
                      </w:r>
                      <w:r>
                        <w:rPr>
                          <w:rFonts w:hint="eastAsia" w:ascii="楷体_GB2312" w:hAnsi="黑体" w:eastAsia="楷体_GB2312"/>
                          <w:sz w:val="32"/>
                          <w:szCs w:val="32"/>
                        </w:rPr>
                        <w:t>。</w:t>
                      </w:r>
                      <w:r>
                        <w:rPr>
                          <w:rFonts w:hint="eastAsia" w:ascii="仿宋_GB2312" w:eastAsia="仿宋_GB2312"/>
                          <w:sz w:val="32"/>
                          <w:szCs w:val="32"/>
                        </w:rPr>
                        <w:t>推进车辆管理服务、城市智慧管理、残疾人托养服务等标准化项目建设。</w:t>
                      </w:r>
                    </w:p>
                    <w:p>
                      <w:pPr>
                        <w:pStyle w:val="14"/>
                        <w:spacing w:line="560" w:lineRule="exact"/>
                        <w:ind w:firstLine="640"/>
                        <w:rPr>
                          <w:rFonts w:ascii="楷体_GB2312" w:eastAsia="楷体_GB2312"/>
                          <w:sz w:val="32"/>
                          <w:szCs w:val="32"/>
                        </w:rPr>
                      </w:pPr>
                      <w:r>
                        <w:rPr>
                          <w:rFonts w:hint="eastAsia" w:ascii="楷体_GB2312" w:eastAsia="楷体_GB2312"/>
                          <w:sz w:val="32"/>
                          <w:szCs w:val="32"/>
                        </w:rPr>
                        <w:t>二、省级项目、平台。</w:t>
                      </w:r>
                      <w:r>
                        <w:rPr>
                          <w:rFonts w:hint="eastAsia" w:ascii="仿宋_GB2312" w:eastAsia="仿宋_GB2312"/>
                          <w:sz w:val="32"/>
                          <w:szCs w:val="32"/>
                        </w:rPr>
                        <w:t>小学教育服务、基层助老助残综合服务、现代医疗综合服务、医院无陪护服务、城镇残疾人日间照料托养服务、“如康家园”残疾人之家服务、政府采购（线上）服务、高脂血症性胰腺炎血液净化治疗、TIPS的术后护理、健康体检服务、影像引导下热消融治疗肺小结节的临床应用、医用物资智慧物流、道地中药材全产业链、节气药膳研发推广、山东省护理学会服务等标准化试点项目建设。</w:t>
                      </w:r>
                    </w:p>
                    <w:p>
                      <w:pPr>
                        <w:pStyle w:val="14"/>
                        <w:spacing w:line="560" w:lineRule="exact"/>
                        <w:ind w:firstLine="640"/>
                        <w:rPr>
                          <w:rFonts w:ascii="楷体_GB2312" w:eastAsia="楷体_GB2312"/>
                          <w:sz w:val="32"/>
                          <w:szCs w:val="32"/>
                        </w:rPr>
                      </w:pPr>
                      <w:r>
                        <w:rPr>
                          <w:rFonts w:hint="eastAsia" w:ascii="楷体_GB2312" w:eastAsia="楷体_GB2312"/>
                          <w:sz w:val="32"/>
                          <w:szCs w:val="32"/>
                        </w:rPr>
                        <w:t>三、完善标准体系。</w:t>
                      </w:r>
                      <w:r>
                        <w:rPr>
                          <w:rFonts w:hint="eastAsia" w:ascii="仿宋_GB2312" w:eastAsia="仿宋_GB2312"/>
                          <w:sz w:val="32"/>
                          <w:szCs w:val="32"/>
                        </w:rPr>
                        <w:t>修订完善我区垃圾分类、市容管理、环境卫生管理、智慧城市管理等标准。</w:t>
                      </w:r>
                    </w:p>
                  </w:txbxContent>
                </v:textbox>
                <w10:wrap type="square"/>
              </v:shape>
            </w:pict>
          </mc:Fallback>
        </mc:AlternateContent>
      </w:r>
      <w:r>
        <w:rPr>
          <w:rFonts w:hint="eastAsia" w:ascii="黑体" w:hAnsi="黑体" w:eastAsia="黑体"/>
          <w:sz w:val="32"/>
          <w:szCs w:val="32"/>
        </w:rPr>
        <w:t>五、促进全区高品质发展</w:t>
      </w:r>
    </w:p>
    <w:p>
      <w:pPr>
        <w:spacing w:line="560" w:lineRule="exact"/>
        <w:ind w:firstLine="640" w:firstLineChars="200"/>
        <w:rPr>
          <w:rFonts w:ascii="楷体_GB2312" w:hAnsi="黑体" w:eastAsia="楷体_GB2312"/>
          <w:sz w:val="32"/>
          <w:szCs w:val="32"/>
        </w:rPr>
      </w:pPr>
      <w:r>
        <w:rPr>
          <w:rFonts w:hint="eastAsia" w:ascii="楷体_GB2312" w:eastAsia="楷体_GB2312"/>
          <w:sz w:val="32"/>
          <w:szCs w:val="32"/>
        </w:rPr>
        <w:t>（十一）夯实绿色低碳发展标准化支撑。</w:t>
      </w:r>
      <w:r>
        <w:rPr>
          <w:rFonts w:hint="eastAsia" w:ascii="仿宋_GB2312" w:eastAsia="仿宋_GB2312"/>
          <w:sz w:val="32"/>
          <w:szCs w:val="32"/>
        </w:rPr>
        <w:t>健全能源、工业、建筑、交通等重点领域绿色低碳发展标准体系。推动大型零售商及电商龙头企业实施新型基础设施标准化专项行动，健全绿色供应链标准体系。完善绿色产品评价标准体系，提升绿色设计示范企业、绿色工厂和绿色供应链标准水平，努力构建高效、清洁、低碳、循环的绿色制造标准体系。积极开展支撑“碳达峰、碳中和”目标实现的绿色技术标准研究。完善气候应对、自然资源标准体系，实施统一的国土空间规划技术标准，健全分级分类管控标准。深化绿色生活理念，构建节能节水、绿色采购、垃圾分类、制止餐饮浪费、绿色出行、绿色居住等绿色生活标准。严格执行产品能效、水效、能耗限额、污染物排放等标准。健全重点行业和重点产品资源节约集约利用标准，开展对标达标，遴选发布能效、水效“领跑者”企业名单及其能效、水效指标，强化标杆引领作用。</w:t>
      </w:r>
      <w:r>
        <w:rPr>
          <w:rFonts w:hint="eastAsia" w:ascii="楷体_GB2312" w:eastAsia="楷体_GB2312"/>
          <w:sz w:val="32"/>
          <w:szCs w:val="32"/>
        </w:rPr>
        <w:t>(区发改局、区工信局、区市场监管局、区住建局、区城管局、区自然资源局、区生态环境分局、区水务局、区市政工程服务中心、区园林绿化服务中心等有关单位按职责分工负责)</w:t>
      </w:r>
    </w:p>
    <w:p>
      <w:pPr>
        <w:spacing w:line="560" w:lineRule="exact"/>
        <w:ind w:firstLine="420" w:firstLineChars="200"/>
        <w:rPr>
          <w:rFonts w:ascii="楷体_GB2312" w:eastAsia="楷体_GB2312"/>
          <w:sz w:val="32"/>
          <w:szCs w:val="32"/>
        </w:rPr>
      </w:pPr>
      <w:bookmarkStart w:id="0" w:name="_GoBack"/>
      <w:bookmarkEnd w:id="0"/>
      <w:r>
        <mc:AlternateContent>
          <mc:Choice Requires="wps">
            <w:drawing>
              <wp:anchor distT="0" distB="0" distL="114300" distR="114300" simplePos="0" relativeHeight="251662336" behindDoc="0" locked="0" layoutInCell="1" allowOverlap="1">
                <wp:simplePos x="0" y="0"/>
                <wp:positionH relativeFrom="column">
                  <wp:posOffset>-21590</wp:posOffset>
                </wp:positionH>
                <wp:positionV relativeFrom="paragraph">
                  <wp:posOffset>2925445</wp:posOffset>
                </wp:positionV>
                <wp:extent cx="5642610" cy="1836420"/>
                <wp:effectExtent l="4445" t="4445" r="10795" b="6985"/>
                <wp:wrapSquare wrapText="bothSides"/>
                <wp:docPr id="4" name="文本框 6"/>
                <wp:cNvGraphicFramePr/>
                <a:graphic xmlns:a="http://schemas.openxmlformats.org/drawingml/2006/main">
                  <a:graphicData uri="http://schemas.microsoft.com/office/word/2010/wordprocessingShape">
                    <wps:wsp>
                      <wps:cNvSpPr txBox="1"/>
                      <wps:spPr>
                        <a:xfrm>
                          <a:off x="0" y="0"/>
                          <a:ext cx="5642610" cy="1836420"/>
                        </a:xfrm>
                        <a:prstGeom prst="rect">
                          <a:avLst/>
                        </a:prstGeom>
                        <a:solidFill>
                          <a:srgbClr val="FFFFFF"/>
                        </a:solidFill>
                        <a:ln w="6350" cap="flat" cmpd="sng">
                          <a:solidFill>
                            <a:srgbClr val="000000"/>
                          </a:solidFill>
                          <a:prstDash val="solid"/>
                          <a:miter/>
                          <a:headEnd type="none" w="med" len="med"/>
                          <a:tailEnd type="none" w="med" len="med"/>
                        </a:ln>
                      </wps:spPr>
                      <wps:txbx>
                        <w:txbxContent>
                          <w:p>
                            <w:pPr>
                              <w:spacing w:line="560" w:lineRule="exact"/>
                              <w:jc w:val="center"/>
                              <w:rPr>
                                <w:rFonts w:ascii="黑体" w:hAnsi="黑体" w:eastAsia="黑体"/>
                                <w:sz w:val="32"/>
                                <w:szCs w:val="32"/>
                              </w:rPr>
                            </w:pPr>
                            <w:r>
                              <w:rPr>
                                <w:rFonts w:hint="eastAsia" w:ascii="黑体" w:hAnsi="黑体" w:eastAsia="黑体"/>
                                <w:sz w:val="32"/>
                                <w:szCs w:val="32"/>
                              </w:rPr>
                              <w:t>专栏四 高品质发展标准化重点项目</w:t>
                            </w:r>
                          </w:p>
                          <w:p>
                            <w:pPr>
                              <w:pStyle w:val="14"/>
                              <w:spacing w:line="560" w:lineRule="exact"/>
                              <w:ind w:firstLine="640"/>
                              <w:rPr>
                                <w:rFonts w:ascii="楷体_GB2312" w:hAnsi="黑体" w:eastAsia="楷体_GB2312"/>
                                <w:sz w:val="32"/>
                                <w:szCs w:val="32"/>
                              </w:rPr>
                            </w:pPr>
                            <w:r>
                              <w:rPr>
                                <w:rFonts w:hint="eastAsia" w:ascii="楷体_GB2312" w:hAnsi="黑体" w:eastAsia="楷体_GB2312"/>
                                <w:sz w:val="32"/>
                                <w:szCs w:val="32"/>
                              </w:rPr>
                              <w:t>一、国际标准</w:t>
                            </w:r>
                            <w:r>
                              <w:rPr>
                                <w:rFonts w:ascii="楷体_GB2312" w:hAnsi="黑体" w:eastAsia="楷体_GB2312"/>
                                <w:sz w:val="32"/>
                                <w:szCs w:val="32"/>
                              </w:rPr>
                              <w:t>制定</w:t>
                            </w:r>
                            <w:r>
                              <w:rPr>
                                <w:rFonts w:hint="eastAsia" w:ascii="楷体_GB2312" w:hAnsi="黑体" w:eastAsia="楷体_GB2312"/>
                                <w:sz w:val="32"/>
                                <w:szCs w:val="32"/>
                              </w:rPr>
                              <w:t>。</w:t>
                            </w:r>
                            <w:r>
                              <w:rPr>
                                <w:rFonts w:hint="eastAsia" w:ascii="仿宋_GB2312" w:eastAsia="仿宋_GB2312"/>
                                <w:sz w:val="32"/>
                                <w:szCs w:val="32"/>
                              </w:rPr>
                              <w:t>争取制定智慧城市、监管链等领域国际标准。</w:t>
                            </w:r>
                          </w:p>
                          <w:p>
                            <w:pPr>
                              <w:pStyle w:val="14"/>
                              <w:spacing w:line="560" w:lineRule="exact"/>
                              <w:ind w:firstLine="640"/>
                              <w:rPr>
                                <w:rFonts w:ascii="仿宋_GB2312" w:eastAsia="仿宋_GB2312"/>
                                <w:sz w:val="32"/>
                                <w:szCs w:val="32"/>
                              </w:rPr>
                            </w:pPr>
                            <w:r>
                              <w:rPr>
                                <w:rFonts w:hint="eastAsia" w:ascii="楷体_GB2312" w:eastAsia="楷体_GB2312"/>
                                <w:sz w:val="32"/>
                                <w:szCs w:val="32"/>
                              </w:rPr>
                              <w:t>二、省级项目、平台。</w:t>
                            </w:r>
                            <w:r>
                              <w:rPr>
                                <w:rFonts w:hint="eastAsia" w:ascii="仿宋_GB2312" w:eastAsia="仿宋_GB2312"/>
                                <w:sz w:val="32"/>
                                <w:szCs w:val="32"/>
                              </w:rPr>
                              <w:t>建设基建物资装备数字化共享利用服务等标准化试点。</w:t>
                            </w:r>
                          </w:p>
                        </w:txbxContent>
                      </wps:txbx>
                      <wps:bodyPr anchor="t" anchorCtr="0" upright="1"/>
                    </wps:wsp>
                  </a:graphicData>
                </a:graphic>
              </wp:anchor>
            </w:drawing>
          </mc:Choice>
          <mc:Fallback>
            <w:pict>
              <v:shape id="文本框 6" o:spid="_x0000_s1026" o:spt="202" type="#_x0000_t202" style="position:absolute;left:0pt;margin-left:-1.7pt;margin-top:230.35pt;height:144.6pt;width:444.3pt;mso-wrap-distance-bottom:0pt;mso-wrap-distance-left:9pt;mso-wrap-distance-right:9pt;mso-wrap-distance-top:0pt;z-index:251662336;mso-width-relative:page;mso-height-relative:page;" fillcolor="#FFFFFF"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">
                <v:fill on="t" focussize="0,0"/>
                <v:stroke weight="0.5pt" color="#000000" joinstyle="miter"/>
                <v:imagedata o:title=""/>
                <o:lock v:ext="edit" aspectratio="f"/>
                <v:textbox>
                  <w:txbxContent>
                    <w:p>
                      <w:pPr>
                        <w:spacing w:line="560" w:lineRule="exact"/>
                        <w:jc w:val="center"/>
                        <w:rPr>
                          <w:rFonts w:ascii="黑体" w:hAnsi="黑体" w:eastAsia="黑体"/>
                          <w:sz w:val="32"/>
                          <w:szCs w:val="32"/>
                        </w:rPr>
                      </w:pPr>
                      <w:r>
                        <w:rPr>
                          <w:rFonts w:hint="eastAsia" w:ascii="黑体" w:hAnsi="黑体" w:eastAsia="黑体"/>
                          <w:sz w:val="32"/>
                          <w:szCs w:val="32"/>
                        </w:rPr>
                        <w:t>专栏四 高品质发展标准化重点项目</w:t>
                      </w:r>
                    </w:p>
                    <w:p>
                      <w:pPr>
                        <w:pStyle w:val="14"/>
                        <w:spacing w:line="560" w:lineRule="exact"/>
                        <w:ind w:firstLine="640"/>
                        <w:rPr>
                          <w:rFonts w:ascii="楷体_GB2312" w:hAnsi="黑体" w:eastAsia="楷体_GB2312"/>
                          <w:sz w:val="32"/>
                          <w:szCs w:val="32"/>
                        </w:rPr>
                      </w:pPr>
                      <w:r>
                        <w:rPr>
                          <w:rFonts w:hint="eastAsia" w:ascii="楷体_GB2312" w:hAnsi="黑体" w:eastAsia="楷体_GB2312"/>
                          <w:sz w:val="32"/>
                          <w:szCs w:val="32"/>
                        </w:rPr>
                        <w:t>一、国际标准</w:t>
                      </w:r>
                      <w:r>
                        <w:rPr>
                          <w:rFonts w:ascii="楷体_GB2312" w:hAnsi="黑体" w:eastAsia="楷体_GB2312"/>
                          <w:sz w:val="32"/>
                          <w:szCs w:val="32"/>
                        </w:rPr>
                        <w:t>制定</w:t>
                      </w:r>
                      <w:r>
                        <w:rPr>
                          <w:rFonts w:hint="eastAsia" w:ascii="楷体_GB2312" w:hAnsi="黑体" w:eastAsia="楷体_GB2312"/>
                          <w:sz w:val="32"/>
                          <w:szCs w:val="32"/>
                        </w:rPr>
                        <w:t>。</w:t>
                      </w:r>
                      <w:r>
                        <w:rPr>
                          <w:rFonts w:hint="eastAsia" w:ascii="仿宋_GB2312" w:eastAsia="仿宋_GB2312"/>
                          <w:sz w:val="32"/>
                          <w:szCs w:val="32"/>
                        </w:rPr>
                        <w:t>争取制定智慧城市、监管链等领域国际标准。</w:t>
                      </w:r>
                    </w:p>
                    <w:p>
                      <w:pPr>
                        <w:pStyle w:val="14"/>
                        <w:spacing w:line="560" w:lineRule="exact"/>
                        <w:ind w:firstLine="640"/>
                        <w:rPr>
                          <w:rFonts w:ascii="仿宋_GB2312" w:eastAsia="仿宋_GB2312"/>
                          <w:sz w:val="32"/>
                          <w:szCs w:val="32"/>
                        </w:rPr>
                      </w:pPr>
                      <w:r>
                        <w:rPr>
                          <w:rFonts w:hint="eastAsia" w:ascii="楷体_GB2312" w:eastAsia="楷体_GB2312"/>
                          <w:sz w:val="32"/>
                          <w:szCs w:val="32"/>
                        </w:rPr>
                        <w:t>二、省级项目、平台。</w:t>
                      </w:r>
                      <w:r>
                        <w:rPr>
                          <w:rFonts w:hint="eastAsia" w:ascii="仿宋_GB2312" w:eastAsia="仿宋_GB2312"/>
                          <w:sz w:val="32"/>
                          <w:szCs w:val="32"/>
                        </w:rPr>
                        <w:t>建设基建物资装备数字化共享利用服务等标准化试点。</w:t>
                      </w:r>
                    </w:p>
                  </w:txbxContent>
                </v:textbox>
                <w10:wrap type="square"/>
              </v:shape>
            </w:pict>
          </mc:Fallback>
        </mc:AlternateContent>
      </w:r>
      <w:r>
        <w:rPr>
          <w:rFonts w:hint="eastAsia" w:ascii="楷体_GB2312" w:eastAsia="楷体_GB2312"/>
          <w:sz w:val="32"/>
          <w:szCs w:val="32"/>
        </w:rPr>
        <w:t>（十二）提升标准化对外开放水平。</w:t>
      </w:r>
      <w:r>
        <w:rPr>
          <w:rFonts w:hint="eastAsia" w:ascii="仿宋_GB2312" w:eastAsia="仿宋_GB2312"/>
          <w:sz w:val="32"/>
          <w:szCs w:val="32"/>
        </w:rPr>
        <w:t>强化国际标准、国外标准与国内标准的衔接，鼓励企业、行业协会、专业机构等积极参与国际标准化活动，推动先进适用国际标准转化应用。鼓励市场主体等积极参与国际标准制定，在智慧城市、监管链等领域承担国际标准化技术组织，形成一批国际标准。推广自贸区济南片区国际经贸技术标准综合服务平台，满足进出口企业对国外重点市场技术性贸易措施信息需求，服务自贸区发展。</w:t>
      </w:r>
      <w:r>
        <w:rPr>
          <w:rFonts w:hint="eastAsia" w:ascii="楷体_GB2312" w:eastAsia="楷体_GB2312"/>
          <w:sz w:val="32"/>
          <w:szCs w:val="32"/>
        </w:rPr>
        <w:t>(区自贸办、区商务局、区市场监管局等有关单位按职责分工负责)</w:t>
      </w:r>
    </w:p>
    <w:p>
      <w:pPr>
        <w:spacing w:line="560" w:lineRule="exact"/>
        <w:ind w:firstLine="640" w:firstLineChars="200"/>
        <w:rPr>
          <w:rFonts w:ascii="黑体" w:hAnsi="黑体" w:eastAsia="黑体"/>
          <w:sz w:val="32"/>
          <w:szCs w:val="32"/>
        </w:rPr>
      </w:pPr>
      <w:r>
        <w:rPr>
          <w:rFonts w:ascii="仿宋_GB2312" w:eastAsia="仿宋_GB2312"/>
          <w:sz w:val="32"/>
          <w:szCs w:val="32"/>
        </w:rPr>
        <w:t xml:space="preserve"> </w:t>
      </w:r>
      <w:r>
        <w:rPr>
          <w:rFonts w:hint="eastAsia" w:ascii="黑体" w:hAnsi="黑体" w:eastAsia="黑体"/>
          <w:sz w:val="32"/>
          <w:szCs w:val="32"/>
        </w:rPr>
        <w:t>六、强化标准化工作保障</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（十三）加强标准化组织协调。</w:t>
      </w:r>
      <w:r>
        <w:rPr>
          <w:rFonts w:hint="eastAsia" w:ascii="仿宋_GB2312" w:eastAsia="仿宋_GB2312"/>
          <w:sz w:val="32"/>
          <w:szCs w:val="32"/>
        </w:rPr>
        <w:t>充分发挥区实施标准化战略领导小组作用，协调区内标准化工作重大事项，统筹各有关部门共同推进全区标准化创新发展的重点任务和工作。深化省、市、区三级共建，充分发挥区内企事业单位、高校、科研院所等优势，积极承接国家、省、市标准化创新任务，探索标准化创新发展的历下实践。</w:t>
      </w:r>
      <w:r>
        <w:rPr>
          <w:rFonts w:hint="eastAsia" w:ascii="楷体_GB2312" w:eastAsia="楷体_GB2312"/>
          <w:sz w:val="32"/>
          <w:szCs w:val="32"/>
        </w:rPr>
        <w:t>(区实施标准化战略领导小组各成员单位、区政府各部门按职责分工负责)</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（十四）加强标准化技术支撑。</w:t>
      </w:r>
      <w:r>
        <w:rPr>
          <w:rFonts w:hint="eastAsia" w:ascii="仿宋_GB2312" w:eastAsia="仿宋_GB2312"/>
          <w:sz w:val="32"/>
          <w:szCs w:val="32"/>
        </w:rPr>
        <w:t>推进标准化服务业聚集创新，支持专业标准化服务机构围绕标准研制、实施全过程提供科技成果向标准转化、标准制定、标准验证、实施监督、效果评价等服务。鼓励政府采购标准化服务，深化地方与国家、省、市研究机构的标准化合作，实现服务提供主体和方式多元化。推进团体标准组织发展能力评价工作，推动专业化团体标准组织能力提升。</w:t>
      </w:r>
      <w:r>
        <w:rPr>
          <w:rFonts w:hint="eastAsia" w:ascii="楷体_GB2312" w:eastAsia="楷体_GB2312"/>
          <w:sz w:val="32"/>
          <w:szCs w:val="32"/>
        </w:rPr>
        <w:t>(区市场监管局等有关单位按职责分工负责)</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（十五）加强标准化人才培养。</w:t>
      </w:r>
      <w:r>
        <w:rPr>
          <w:rFonts w:hint="eastAsia" w:ascii="仿宋_GB2312" w:eastAsia="仿宋_GB2312"/>
          <w:sz w:val="32"/>
          <w:szCs w:val="32"/>
        </w:rPr>
        <w:t>加强标准化领军人才、专家人才和业务骨干队伍建设，形成多层次标准化人才体系框架。在科技创新企业试行“首席标准官”制度，选拔有科技研发经历的人员担任“首席标准官”。加强培训，贯彻标准化意识、理念、方法，促进标准化贯穿科技创新全过程，提高科技创新和成果转化效率。</w:t>
      </w:r>
      <w:r>
        <w:rPr>
          <w:rFonts w:hint="eastAsia" w:ascii="楷体_GB2312" w:eastAsia="楷体_GB2312"/>
          <w:sz w:val="32"/>
          <w:szCs w:val="32"/>
        </w:rPr>
        <w:t>(区市场监管局、区教体局、区科技局、区人社局等有关单位按职责分工负责)</w:t>
      </w:r>
    </w:p>
    <w:p>
      <w:pPr>
        <w:spacing w:line="560" w:lineRule="exact"/>
        <w:ind w:firstLine="640" w:firstLineChars="200"/>
        <w:rPr>
          <w:rFonts w:ascii="楷体_GB2312" w:hAnsi="方正小标宋简体" w:eastAsia="楷体_GB2312" w:cs="方正小标宋简体"/>
          <w:sz w:val="44"/>
          <w:szCs w:val="44"/>
        </w:rPr>
      </w:pPr>
      <w:r>
        <w:rPr>
          <w:rFonts w:hint="eastAsia" w:ascii="楷体_GB2312" w:eastAsia="楷体_GB2312"/>
          <w:sz w:val="32"/>
          <w:szCs w:val="32"/>
        </w:rPr>
        <w:t>（十六）加大标准化宣传引导。</w:t>
      </w:r>
      <w:r>
        <w:rPr>
          <w:rFonts w:hint="eastAsia" w:ascii="仿宋_GB2312" w:eastAsia="仿宋_GB2312"/>
          <w:sz w:val="32"/>
          <w:szCs w:val="32"/>
        </w:rPr>
        <w:t>要充分利用广播、电视、报刊、网络等媒体，围绕《标准化法》、《国家标准化发展纲要》等标准化法律法规、标准化政策以及重要标准等，加强标准宣传与解读，切实增强政府部门、企业和消费者等社会各个层面的标准化意识。发挥好标准化在规划制定和实施中的规制引领作用，逐步形成规划制定与标准体系建设发展联动。</w:t>
      </w:r>
      <w:r>
        <w:rPr>
          <w:rFonts w:hint="eastAsia" w:ascii="楷体_GB2312" w:eastAsia="楷体_GB2312"/>
          <w:sz w:val="32"/>
          <w:szCs w:val="32"/>
        </w:rPr>
        <w:t>(区政府有关部门按职责分工负责)</w:t>
      </w:r>
    </w:p>
    <w:p>
      <w:pPr>
        <w:spacing w:line="560" w:lineRule="exact"/>
        <w:rPr>
          <w:rFonts w:ascii="仿宋_GB2312" w:eastAsia="仿宋_GB2312"/>
          <w:sz w:val="32"/>
          <w:szCs w:val="32"/>
        </w:rPr>
      </w:pPr>
    </w:p>
    <w:p>
      <w:pPr>
        <w:spacing w:line="560" w:lineRule="exact"/>
        <w:ind w:firstLine="640" w:firstLineChars="200"/>
        <w:rPr>
          <w:rFonts w:ascii="仿宋_GB2312" w:hAnsi="仿宋_GB2312" w:eastAsia="仿宋_GB2312" w:cs="仿宋_GB2312"/>
          <w:sz w:val="32"/>
          <w:szCs w:val="32"/>
          <w:shd w:val="clear" w:color="auto" w:fill="FFFFFF"/>
        </w:rPr>
      </w:pP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济南市历下区人民政府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 xml:space="preserve">                          2023年11月13日</w:t>
      </w:r>
    </w:p>
    <w:p>
      <w:pPr>
        <w:tabs>
          <w:tab w:val="left" w:pos="7920"/>
          <w:tab w:val="left" w:pos="8460"/>
        </w:tabs>
        <w:snapToGrid w:val="0"/>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（此件公开发布）</w:t>
      </w: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sectPr>
          <w:footerReference r:id="rId3" w:type="default"/>
          <w:footerReference r:id="rId4" w:type="even"/>
          <w:pgSz w:w="11906" w:h="16838"/>
          <w:pgMar w:top="2098" w:right="1588" w:bottom="2098" w:left="1588" w:header="851" w:footer="1644" w:gutter="0"/>
          <w:pgNumType w:fmt="numberInDash"/>
          <w:cols w:space="425" w:num="1"/>
          <w:docGrid w:type="lines" w:linePitch="312" w:charSpace="0"/>
        </w:sectPr>
      </w:pPr>
    </w:p>
    <w:p>
      <w:pPr>
        <w:tabs>
          <w:tab w:val="left" w:pos="7920"/>
          <w:tab w:val="left" w:pos="8460"/>
        </w:tabs>
        <w:snapToGrid w:val="0"/>
        <w:spacing w:after="156" w:afterLines="50" w:line="560" w:lineRule="exact"/>
        <w:ind w:firstLine="320" w:firstLineChars="100"/>
        <w:rPr>
          <w:rFonts w:ascii="仿宋" w:hAnsi="仿宋" w:eastAsia="仿宋"/>
          <w:sz w:val="32"/>
          <w:szCs w:val="32"/>
        </w:rPr>
      </w:pPr>
    </w:p>
    <w:sectPr>
      <w:footerReference r:id="rId5" w:type="even"/>
      <w:pgSz w:w="11906" w:h="16838"/>
      <w:pgMar w:top="2098" w:right="1588" w:bottom="2098" w:left="158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lt;p&gt;">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41284323"/>
      <w:docPartObj>
        <w:docPartGallery w:val="AutoText"/>
      </w:docPartObj>
    </w:sdtPr>
    <w:sdtEndPr>
      <w:rPr>
        <w:rFonts w:asciiTheme="minorEastAsia" w:hAnsiTheme="minorEastAsia"/>
        <w:sz w:val="28"/>
        <w:szCs w:val="28"/>
      </w:rPr>
    </w:sdtEndPr>
    <w:sdtContent>
      <w:p>
        <w:pPr>
          <w:pStyle w:val="4"/>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13 -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5897516"/>
      <w:docPartObj>
        <w:docPartGallery w:val="AutoText"/>
      </w:docPartObj>
    </w:sdtPr>
    <w:sdtEndPr>
      <w:rPr>
        <w:rFonts w:asciiTheme="minorEastAsia" w:hAnsiTheme="minorEastAsia"/>
        <w:sz w:val="28"/>
        <w:szCs w:val="28"/>
      </w:rPr>
    </w:sdtEndPr>
    <w:sdtContent>
      <w:p>
        <w:pPr>
          <w:pStyle w:val="4"/>
          <w:ind w:firstLine="180" w:firstLineChars="1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12 -</w:t>
        </w:r>
        <w:r>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Theme="minorEastAsia" w:hAnsiTheme="minor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BF7"/>
    <w:rsid w:val="00000166"/>
    <w:rsid w:val="00003503"/>
    <w:rsid w:val="00004969"/>
    <w:rsid w:val="00010274"/>
    <w:rsid w:val="000128C4"/>
    <w:rsid w:val="000174A8"/>
    <w:rsid w:val="000341A3"/>
    <w:rsid w:val="000404BF"/>
    <w:rsid w:val="000473C5"/>
    <w:rsid w:val="00051021"/>
    <w:rsid w:val="00051393"/>
    <w:rsid w:val="00055222"/>
    <w:rsid w:val="00061B33"/>
    <w:rsid w:val="00075BBE"/>
    <w:rsid w:val="000809C3"/>
    <w:rsid w:val="0008283B"/>
    <w:rsid w:val="00097A68"/>
    <w:rsid w:val="000A712C"/>
    <w:rsid w:val="000C411C"/>
    <w:rsid w:val="000C63C1"/>
    <w:rsid w:val="000D42B4"/>
    <w:rsid w:val="000F1FB8"/>
    <w:rsid w:val="000F316B"/>
    <w:rsid w:val="000F3A5D"/>
    <w:rsid w:val="000F451C"/>
    <w:rsid w:val="000F666A"/>
    <w:rsid w:val="00102620"/>
    <w:rsid w:val="00110599"/>
    <w:rsid w:val="001110A3"/>
    <w:rsid w:val="0012093F"/>
    <w:rsid w:val="0012343A"/>
    <w:rsid w:val="001238A9"/>
    <w:rsid w:val="001302BA"/>
    <w:rsid w:val="00132807"/>
    <w:rsid w:val="001332D7"/>
    <w:rsid w:val="001456A3"/>
    <w:rsid w:val="001469E1"/>
    <w:rsid w:val="00152214"/>
    <w:rsid w:val="00153609"/>
    <w:rsid w:val="00170339"/>
    <w:rsid w:val="00176B52"/>
    <w:rsid w:val="00183EBF"/>
    <w:rsid w:val="00185B41"/>
    <w:rsid w:val="001A5FAE"/>
    <w:rsid w:val="001D6B1C"/>
    <w:rsid w:val="001E5C9B"/>
    <w:rsid w:val="001E6C6C"/>
    <w:rsid w:val="001F1209"/>
    <w:rsid w:val="002001B5"/>
    <w:rsid w:val="002105FD"/>
    <w:rsid w:val="00217F76"/>
    <w:rsid w:val="00221B59"/>
    <w:rsid w:val="00223F4C"/>
    <w:rsid w:val="0023583C"/>
    <w:rsid w:val="00235C1B"/>
    <w:rsid w:val="00235F12"/>
    <w:rsid w:val="00241375"/>
    <w:rsid w:val="00247BFC"/>
    <w:rsid w:val="00254C4C"/>
    <w:rsid w:val="00271B3C"/>
    <w:rsid w:val="00292251"/>
    <w:rsid w:val="00292551"/>
    <w:rsid w:val="002A10BB"/>
    <w:rsid w:val="002A11D2"/>
    <w:rsid w:val="002A21B8"/>
    <w:rsid w:val="002A7735"/>
    <w:rsid w:val="002B0BF7"/>
    <w:rsid w:val="002B0F1A"/>
    <w:rsid w:val="002B4BD6"/>
    <w:rsid w:val="002B4FE9"/>
    <w:rsid w:val="002B6E78"/>
    <w:rsid w:val="002B78AE"/>
    <w:rsid w:val="002C0CCD"/>
    <w:rsid w:val="002C41A0"/>
    <w:rsid w:val="002C6900"/>
    <w:rsid w:val="002D2218"/>
    <w:rsid w:val="002E5826"/>
    <w:rsid w:val="002F7D12"/>
    <w:rsid w:val="00301508"/>
    <w:rsid w:val="00325CFA"/>
    <w:rsid w:val="00331FA2"/>
    <w:rsid w:val="0033514E"/>
    <w:rsid w:val="00336482"/>
    <w:rsid w:val="00340218"/>
    <w:rsid w:val="00340CC7"/>
    <w:rsid w:val="0034392A"/>
    <w:rsid w:val="003529F0"/>
    <w:rsid w:val="00361831"/>
    <w:rsid w:val="003634B0"/>
    <w:rsid w:val="00364787"/>
    <w:rsid w:val="00365CEA"/>
    <w:rsid w:val="0036763F"/>
    <w:rsid w:val="00367F69"/>
    <w:rsid w:val="00370710"/>
    <w:rsid w:val="00387701"/>
    <w:rsid w:val="00390FB2"/>
    <w:rsid w:val="00392A09"/>
    <w:rsid w:val="0039426D"/>
    <w:rsid w:val="00395B4D"/>
    <w:rsid w:val="003A4151"/>
    <w:rsid w:val="003A48ED"/>
    <w:rsid w:val="003A4959"/>
    <w:rsid w:val="003A5540"/>
    <w:rsid w:val="003B0259"/>
    <w:rsid w:val="003B1F8E"/>
    <w:rsid w:val="003B7CA2"/>
    <w:rsid w:val="003C1709"/>
    <w:rsid w:val="003C6CEB"/>
    <w:rsid w:val="003C6DA2"/>
    <w:rsid w:val="003D2752"/>
    <w:rsid w:val="003F13BE"/>
    <w:rsid w:val="00417FB0"/>
    <w:rsid w:val="00420C2F"/>
    <w:rsid w:val="00420C71"/>
    <w:rsid w:val="004232D5"/>
    <w:rsid w:val="00430551"/>
    <w:rsid w:val="00437350"/>
    <w:rsid w:val="004439F4"/>
    <w:rsid w:val="00453E56"/>
    <w:rsid w:val="0045430E"/>
    <w:rsid w:val="004631FC"/>
    <w:rsid w:val="00472AA8"/>
    <w:rsid w:val="00476742"/>
    <w:rsid w:val="00481C57"/>
    <w:rsid w:val="00484BDC"/>
    <w:rsid w:val="0048503F"/>
    <w:rsid w:val="00487E1B"/>
    <w:rsid w:val="00495B04"/>
    <w:rsid w:val="004A2078"/>
    <w:rsid w:val="004A28A0"/>
    <w:rsid w:val="004C03F4"/>
    <w:rsid w:val="004C069E"/>
    <w:rsid w:val="004C0A7B"/>
    <w:rsid w:val="004C6040"/>
    <w:rsid w:val="004E2E06"/>
    <w:rsid w:val="004F2110"/>
    <w:rsid w:val="00504613"/>
    <w:rsid w:val="0053144E"/>
    <w:rsid w:val="00533D6B"/>
    <w:rsid w:val="00535BF1"/>
    <w:rsid w:val="00544576"/>
    <w:rsid w:val="00553113"/>
    <w:rsid w:val="00557E57"/>
    <w:rsid w:val="00562EC4"/>
    <w:rsid w:val="00562EDB"/>
    <w:rsid w:val="00564754"/>
    <w:rsid w:val="005661C2"/>
    <w:rsid w:val="00567F08"/>
    <w:rsid w:val="00571D10"/>
    <w:rsid w:val="00573F1D"/>
    <w:rsid w:val="00575DB9"/>
    <w:rsid w:val="00577210"/>
    <w:rsid w:val="00577A9A"/>
    <w:rsid w:val="005824E1"/>
    <w:rsid w:val="005910BB"/>
    <w:rsid w:val="00593DDE"/>
    <w:rsid w:val="005A204B"/>
    <w:rsid w:val="005A78EF"/>
    <w:rsid w:val="005A7C86"/>
    <w:rsid w:val="005B38C7"/>
    <w:rsid w:val="005B6B36"/>
    <w:rsid w:val="005C1C0F"/>
    <w:rsid w:val="005F314A"/>
    <w:rsid w:val="00617A81"/>
    <w:rsid w:val="0062053A"/>
    <w:rsid w:val="006249F7"/>
    <w:rsid w:val="006255AC"/>
    <w:rsid w:val="00634121"/>
    <w:rsid w:val="00634EEF"/>
    <w:rsid w:val="00643B2E"/>
    <w:rsid w:val="00653B48"/>
    <w:rsid w:val="0066639A"/>
    <w:rsid w:val="006773FB"/>
    <w:rsid w:val="006803E1"/>
    <w:rsid w:val="00685140"/>
    <w:rsid w:val="006A72F4"/>
    <w:rsid w:val="006A762A"/>
    <w:rsid w:val="006B6AA8"/>
    <w:rsid w:val="006B7B79"/>
    <w:rsid w:val="006C2C89"/>
    <w:rsid w:val="006C3E82"/>
    <w:rsid w:val="006C5C2B"/>
    <w:rsid w:val="006D0EDB"/>
    <w:rsid w:val="006D5A95"/>
    <w:rsid w:val="006D6B90"/>
    <w:rsid w:val="006E1F19"/>
    <w:rsid w:val="006F5EC0"/>
    <w:rsid w:val="006F7B64"/>
    <w:rsid w:val="00701906"/>
    <w:rsid w:val="00714451"/>
    <w:rsid w:val="00714969"/>
    <w:rsid w:val="00717381"/>
    <w:rsid w:val="00723A6A"/>
    <w:rsid w:val="0073041E"/>
    <w:rsid w:val="007416A9"/>
    <w:rsid w:val="007432EA"/>
    <w:rsid w:val="00752564"/>
    <w:rsid w:val="007525DD"/>
    <w:rsid w:val="0075587F"/>
    <w:rsid w:val="00757ED7"/>
    <w:rsid w:val="007606D5"/>
    <w:rsid w:val="0076305C"/>
    <w:rsid w:val="00763EC9"/>
    <w:rsid w:val="007734A0"/>
    <w:rsid w:val="007804D9"/>
    <w:rsid w:val="00781C02"/>
    <w:rsid w:val="00787BA3"/>
    <w:rsid w:val="0079304A"/>
    <w:rsid w:val="0079312A"/>
    <w:rsid w:val="007A572A"/>
    <w:rsid w:val="007B26EE"/>
    <w:rsid w:val="007B648F"/>
    <w:rsid w:val="007C37FC"/>
    <w:rsid w:val="007E3597"/>
    <w:rsid w:val="007F28A5"/>
    <w:rsid w:val="00803D5A"/>
    <w:rsid w:val="00814E13"/>
    <w:rsid w:val="00817B02"/>
    <w:rsid w:val="00821609"/>
    <w:rsid w:val="00821CB2"/>
    <w:rsid w:val="00837B29"/>
    <w:rsid w:val="0085014A"/>
    <w:rsid w:val="00852A1D"/>
    <w:rsid w:val="0086189E"/>
    <w:rsid w:val="00862737"/>
    <w:rsid w:val="00872831"/>
    <w:rsid w:val="008745EB"/>
    <w:rsid w:val="00876C44"/>
    <w:rsid w:val="00885F88"/>
    <w:rsid w:val="008907D8"/>
    <w:rsid w:val="00895EB5"/>
    <w:rsid w:val="008A31CD"/>
    <w:rsid w:val="008A4979"/>
    <w:rsid w:val="008B127B"/>
    <w:rsid w:val="008B4531"/>
    <w:rsid w:val="008B51AD"/>
    <w:rsid w:val="008B78B2"/>
    <w:rsid w:val="008C0046"/>
    <w:rsid w:val="008C0E55"/>
    <w:rsid w:val="008C1263"/>
    <w:rsid w:val="008C39B0"/>
    <w:rsid w:val="008C5C27"/>
    <w:rsid w:val="008D037C"/>
    <w:rsid w:val="008D2389"/>
    <w:rsid w:val="008F7F3B"/>
    <w:rsid w:val="009023AA"/>
    <w:rsid w:val="009041D8"/>
    <w:rsid w:val="00907E80"/>
    <w:rsid w:val="00911E48"/>
    <w:rsid w:val="0091607D"/>
    <w:rsid w:val="0092015A"/>
    <w:rsid w:val="0092090E"/>
    <w:rsid w:val="00920F30"/>
    <w:rsid w:val="009211DE"/>
    <w:rsid w:val="00930F85"/>
    <w:rsid w:val="00934A0D"/>
    <w:rsid w:val="00936501"/>
    <w:rsid w:val="009378B3"/>
    <w:rsid w:val="0094140F"/>
    <w:rsid w:val="00953F10"/>
    <w:rsid w:val="0095716A"/>
    <w:rsid w:val="009618CB"/>
    <w:rsid w:val="009663D6"/>
    <w:rsid w:val="0097102A"/>
    <w:rsid w:val="00975D30"/>
    <w:rsid w:val="0098008F"/>
    <w:rsid w:val="00980F34"/>
    <w:rsid w:val="00980FD5"/>
    <w:rsid w:val="0098595A"/>
    <w:rsid w:val="009A1812"/>
    <w:rsid w:val="009A5D84"/>
    <w:rsid w:val="009A6818"/>
    <w:rsid w:val="009C091D"/>
    <w:rsid w:val="009C0AA0"/>
    <w:rsid w:val="009C2DC8"/>
    <w:rsid w:val="009D157B"/>
    <w:rsid w:val="009D1DD2"/>
    <w:rsid w:val="009F30A4"/>
    <w:rsid w:val="00A01F10"/>
    <w:rsid w:val="00A03E35"/>
    <w:rsid w:val="00A0432A"/>
    <w:rsid w:val="00A05CCF"/>
    <w:rsid w:val="00A22C75"/>
    <w:rsid w:val="00A22E53"/>
    <w:rsid w:val="00A24D0B"/>
    <w:rsid w:val="00A35AD9"/>
    <w:rsid w:val="00A4119E"/>
    <w:rsid w:val="00A43536"/>
    <w:rsid w:val="00A4500A"/>
    <w:rsid w:val="00A4532E"/>
    <w:rsid w:val="00A5685D"/>
    <w:rsid w:val="00A602D0"/>
    <w:rsid w:val="00A6542C"/>
    <w:rsid w:val="00A6622F"/>
    <w:rsid w:val="00A66A64"/>
    <w:rsid w:val="00A72CD2"/>
    <w:rsid w:val="00A7313C"/>
    <w:rsid w:val="00A84CA4"/>
    <w:rsid w:val="00AC672C"/>
    <w:rsid w:val="00AE09F3"/>
    <w:rsid w:val="00AE0DB5"/>
    <w:rsid w:val="00AE1B87"/>
    <w:rsid w:val="00AE45C2"/>
    <w:rsid w:val="00AE5BA3"/>
    <w:rsid w:val="00AE5E94"/>
    <w:rsid w:val="00AE6C05"/>
    <w:rsid w:val="00B10CCC"/>
    <w:rsid w:val="00B16943"/>
    <w:rsid w:val="00B16AF6"/>
    <w:rsid w:val="00B20265"/>
    <w:rsid w:val="00B22BBE"/>
    <w:rsid w:val="00B23A42"/>
    <w:rsid w:val="00B33EE0"/>
    <w:rsid w:val="00B35D05"/>
    <w:rsid w:val="00B36D11"/>
    <w:rsid w:val="00B3712D"/>
    <w:rsid w:val="00B40B1B"/>
    <w:rsid w:val="00B47C31"/>
    <w:rsid w:val="00B53C21"/>
    <w:rsid w:val="00B5649F"/>
    <w:rsid w:val="00B56985"/>
    <w:rsid w:val="00B64EEE"/>
    <w:rsid w:val="00B652C5"/>
    <w:rsid w:val="00B70B6A"/>
    <w:rsid w:val="00B7439F"/>
    <w:rsid w:val="00B94377"/>
    <w:rsid w:val="00B9647F"/>
    <w:rsid w:val="00BA16FF"/>
    <w:rsid w:val="00BA3BA0"/>
    <w:rsid w:val="00BC3D46"/>
    <w:rsid w:val="00BC562A"/>
    <w:rsid w:val="00BC7B78"/>
    <w:rsid w:val="00BD3599"/>
    <w:rsid w:val="00BF2995"/>
    <w:rsid w:val="00BF4AA3"/>
    <w:rsid w:val="00C0340D"/>
    <w:rsid w:val="00C0410C"/>
    <w:rsid w:val="00C148E1"/>
    <w:rsid w:val="00C31205"/>
    <w:rsid w:val="00C35D7D"/>
    <w:rsid w:val="00C43B2D"/>
    <w:rsid w:val="00C5520E"/>
    <w:rsid w:val="00C614A9"/>
    <w:rsid w:val="00C71035"/>
    <w:rsid w:val="00C73108"/>
    <w:rsid w:val="00C755B4"/>
    <w:rsid w:val="00C84D3C"/>
    <w:rsid w:val="00C91260"/>
    <w:rsid w:val="00C9430E"/>
    <w:rsid w:val="00C95208"/>
    <w:rsid w:val="00CA1550"/>
    <w:rsid w:val="00CA21BA"/>
    <w:rsid w:val="00CB1A77"/>
    <w:rsid w:val="00CB64A0"/>
    <w:rsid w:val="00CC11F2"/>
    <w:rsid w:val="00CC5BCC"/>
    <w:rsid w:val="00CD1BBE"/>
    <w:rsid w:val="00CD6D8A"/>
    <w:rsid w:val="00CE2F5B"/>
    <w:rsid w:val="00CE6A53"/>
    <w:rsid w:val="00CF1220"/>
    <w:rsid w:val="00CF7CD4"/>
    <w:rsid w:val="00D04187"/>
    <w:rsid w:val="00D0663B"/>
    <w:rsid w:val="00D0794D"/>
    <w:rsid w:val="00D13F12"/>
    <w:rsid w:val="00D14AC9"/>
    <w:rsid w:val="00D17BE8"/>
    <w:rsid w:val="00D36F58"/>
    <w:rsid w:val="00D4069B"/>
    <w:rsid w:val="00D459D3"/>
    <w:rsid w:val="00D46625"/>
    <w:rsid w:val="00D52BEF"/>
    <w:rsid w:val="00D61E44"/>
    <w:rsid w:val="00D67252"/>
    <w:rsid w:val="00D7474D"/>
    <w:rsid w:val="00D8589C"/>
    <w:rsid w:val="00D869FC"/>
    <w:rsid w:val="00DA4FE7"/>
    <w:rsid w:val="00DB18D7"/>
    <w:rsid w:val="00DB4180"/>
    <w:rsid w:val="00DB466B"/>
    <w:rsid w:val="00DB6B1A"/>
    <w:rsid w:val="00DC5F84"/>
    <w:rsid w:val="00DC696E"/>
    <w:rsid w:val="00DD3FED"/>
    <w:rsid w:val="00DD5906"/>
    <w:rsid w:val="00DD71B2"/>
    <w:rsid w:val="00DE2230"/>
    <w:rsid w:val="00DE4E6D"/>
    <w:rsid w:val="00DF3338"/>
    <w:rsid w:val="00DF5EBF"/>
    <w:rsid w:val="00E01202"/>
    <w:rsid w:val="00E04714"/>
    <w:rsid w:val="00E05977"/>
    <w:rsid w:val="00E05D9C"/>
    <w:rsid w:val="00E0635C"/>
    <w:rsid w:val="00E12CE4"/>
    <w:rsid w:val="00E20B29"/>
    <w:rsid w:val="00E22CAF"/>
    <w:rsid w:val="00E2350D"/>
    <w:rsid w:val="00E31335"/>
    <w:rsid w:val="00E320D1"/>
    <w:rsid w:val="00E3383D"/>
    <w:rsid w:val="00E33F88"/>
    <w:rsid w:val="00E37C04"/>
    <w:rsid w:val="00E41D3F"/>
    <w:rsid w:val="00E44F4B"/>
    <w:rsid w:val="00E54EAD"/>
    <w:rsid w:val="00E70CDA"/>
    <w:rsid w:val="00E74ECC"/>
    <w:rsid w:val="00E805D1"/>
    <w:rsid w:val="00E86387"/>
    <w:rsid w:val="00E97EEA"/>
    <w:rsid w:val="00EA19F4"/>
    <w:rsid w:val="00EA41AA"/>
    <w:rsid w:val="00EA7AB8"/>
    <w:rsid w:val="00EB0E60"/>
    <w:rsid w:val="00EB70F6"/>
    <w:rsid w:val="00EC0398"/>
    <w:rsid w:val="00EC72FD"/>
    <w:rsid w:val="00EE75DF"/>
    <w:rsid w:val="00F1372A"/>
    <w:rsid w:val="00F303F2"/>
    <w:rsid w:val="00F32D6B"/>
    <w:rsid w:val="00F35CB4"/>
    <w:rsid w:val="00F442DF"/>
    <w:rsid w:val="00F45CF5"/>
    <w:rsid w:val="00F46C9F"/>
    <w:rsid w:val="00F639D1"/>
    <w:rsid w:val="00F669A7"/>
    <w:rsid w:val="00F67248"/>
    <w:rsid w:val="00F81E4E"/>
    <w:rsid w:val="00F83B0C"/>
    <w:rsid w:val="00F91994"/>
    <w:rsid w:val="00FA270E"/>
    <w:rsid w:val="00FA5CF7"/>
    <w:rsid w:val="00FC4737"/>
    <w:rsid w:val="00FC6E56"/>
    <w:rsid w:val="00FD4DF2"/>
    <w:rsid w:val="00FD713B"/>
    <w:rsid w:val="00FE122C"/>
    <w:rsid w:val="00FE6EFC"/>
    <w:rsid w:val="00FF6511"/>
    <w:rsid w:val="35CB2E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8"/>
    <w:semiHidden/>
    <w:unhideWhenUsed/>
    <w:uiPriority w:val="99"/>
    <w:pPr>
      <w:ind w:left="100" w:leftChars="2500"/>
    </w:pPr>
  </w:style>
  <w:style w:type="paragraph" w:styleId="3">
    <w:name w:val="Balloon Text"/>
    <w:basedOn w:val="1"/>
    <w:link w:val="13"/>
    <w:semiHidden/>
    <w:unhideWhenUsed/>
    <w:uiPriority w:val="99"/>
    <w:rPr>
      <w:sz w:val="18"/>
      <w:szCs w:val="18"/>
    </w:rPr>
  </w:style>
  <w:style w:type="paragraph" w:styleId="4">
    <w:name w:val="footer"/>
    <w:basedOn w:val="1"/>
    <w:link w:val="16"/>
    <w:unhideWhenUsed/>
    <w:uiPriority w:val="99"/>
    <w:pPr>
      <w:tabs>
        <w:tab w:val="center" w:pos="4153"/>
        <w:tab w:val="right" w:pos="8306"/>
      </w:tabs>
      <w:snapToGrid w:val="0"/>
      <w:jc w:val="left"/>
    </w:pPr>
    <w:rPr>
      <w:sz w:val="18"/>
      <w:szCs w:val="18"/>
    </w:rPr>
  </w:style>
  <w:style w:type="paragraph" w:styleId="5">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bCs/>
    </w:rPr>
  </w:style>
  <w:style w:type="character" w:styleId="11">
    <w:name w:val="page number"/>
    <w:basedOn w:val="9"/>
    <w:uiPriority w:val="0"/>
  </w:style>
  <w:style w:type="paragraph" w:customStyle="1" w:styleId="12">
    <w:name w:val="Char"/>
    <w:basedOn w:val="1"/>
    <w:uiPriority w:val="0"/>
    <w:rPr>
      <w:rFonts w:ascii="仿宋_GB2312" w:hAnsi="&lt;p&gt;" w:eastAsia="仿宋_GB2312" w:cs="仿宋_GB2312"/>
      <w:b/>
      <w:bCs/>
      <w:sz w:val="32"/>
      <w:szCs w:val="32"/>
    </w:rPr>
  </w:style>
  <w:style w:type="character" w:customStyle="1" w:styleId="13">
    <w:name w:val="批注框文本 Char"/>
    <w:basedOn w:val="9"/>
    <w:link w:val="3"/>
    <w:semiHidden/>
    <w:uiPriority w:val="99"/>
    <w:rPr>
      <w:sz w:val="18"/>
      <w:szCs w:val="18"/>
    </w:rPr>
  </w:style>
  <w:style w:type="paragraph" w:styleId="14">
    <w:name w:val="List Paragraph"/>
    <w:basedOn w:val="1"/>
    <w:qFormat/>
    <w:uiPriority w:val="34"/>
    <w:pPr>
      <w:ind w:firstLine="420" w:firstLineChars="200"/>
    </w:pPr>
  </w:style>
  <w:style w:type="character" w:customStyle="1" w:styleId="15">
    <w:name w:val="页眉 Char"/>
    <w:basedOn w:val="9"/>
    <w:link w:val="5"/>
    <w:uiPriority w:val="99"/>
    <w:rPr>
      <w:sz w:val="18"/>
      <w:szCs w:val="18"/>
    </w:rPr>
  </w:style>
  <w:style w:type="character" w:customStyle="1" w:styleId="16">
    <w:name w:val="页脚 Char"/>
    <w:basedOn w:val="9"/>
    <w:link w:val="4"/>
    <w:uiPriority w:val="99"/>
    <w:rPr>
      <w:sz w:val="18"/>
      <w:szCs w:val="18"/>
    </w:rPr>
  </w:style>
  <w:style w:type="paragraph" w:customStyle="1" w:styleId="17">
    <w:name w:val="Char Char Char Char Char Char Char Char Char Char"/>
    <w:basedOn w:val="1"/>
    <w:uiPriority w:val="0"/>
    <w:pPr>
      <w:widowControl/>
      <w:spacing w:after="160" w:line="240" w:lineRule="exact"/>
      <w:jc w:val="left"/>
    </w:pPr>
    <w:rPr>
      <w:rFonts w:ascii="Times New Roman" w:hAnsi="Times New Roman" w:eastAsia="宋体" w:cs="Times New Roman"/>
      <w:szCs w:val="20"/>
    </w:rPr>
  </w:style>
  <w:style w:type="character" w:customStyle="1" w:styleId="18">
    <w:name w:val="日期 Char"/>
    <w:basedOn w:val="9"/>
    <w:link w:val="2"/>
    <w:semiHidden/>
    <w:uiPriority w:val="99"/>
  </w:style>
  <w:style w:type="paragraph" w:styleId="19">
    <w:name w:val="No Spacing"/>
    <w:qFormat/>
    <w:uiPriority w:val="1"/>
    <w:pPr>
      <w:adjustRightInd w:val="0"/>
      <w:snapToGrid w:val="0"/>
    </w:pPr>
    <w:rPr>
      <w:rFonts w:ascii="Tahoma" w:hAnsi="Tahoma" w:eastAsia="微软雅黑" w:cstheme="minorBidi"/>
      <w:kern w:val="0"/>
      <w:sz w:val="22"/>
      <w:szCs w:val="22"/>
      <w:lang w:val="en-US" w:eastAsia="zh-CN" w:bidi="ar-SA"/>
    </w:rPr>
  </w:style>
  <w:style w:type="paragraph" w:customStyle="1" w:styleId="20">
    <w:name w:val="列表段落1"/>
    <w:basedOn w:val="1"/>
    <w:qFormat/>
    <w:uiPriority w:val="99"/>
    <w:pPr>
      <w:ind w:firstLine="420" w:firstLineChars="200"/>
    </w:pPr>
    <w:rPr>
      <w:rFonts w:ascii="Times New Roman" w:hAnsi="Times New Roman" w:eastAsia="仿宋_GB2312" w:cs="Times New Roman"/>
      <w:sz w:val="32"/>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17C2CA-DCDE-49F9-93B2-16A54686A4B4}">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14</Pages>
  <Words>866</Words>
  <Characters>4942</Characters>
  <Lines>41</Lines>
  <Paragraphs>11</Paragraphs>
  <TotalTime>594</TotalTime>
  <ScaleCrop>false</ScaleCrop>
  <LinksUpToDate>false</LinksUpToDate>
  <CharactersWithSpaces>5797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2018-06-26T03:11:00Z</dcterms:created>
  <dc:creator>ume</dc:creator>
  <cp:lastModifiedBy>WPS_1604918664</cp:lastModifiedBy>
  <cp:lastPrinted>2023-11-13T03:32:00Z</cp:lastPrinted>
  <dcterms:modified xsi:type="dcterms:W3CDTF">2023-12-07T03:24:41Z</dcterms:modified>
  <cp:revision>287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273170AC4B07446483EBA333F88EADEB_13</vt:lpwstr>
  </property>
</Properties>
</file>