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Calibri" w:hAnsi="Calibri" w:eastAsia="宋体" w:cs="Times New Roman"/>
          <w:sz w:val="32"/>
          <w:szCs w:val="32"/>
        </w:rPr>
      </w:pPr>
      <w:bookmarkStart w:id="0" w:name="_GoBack"/>
      <w:bookmarkEnd w:id="0"/>
    </w:p>
    <w:p>
      <w:pPr>
        <w:spacing w:line="560" w:lineRule="exact"/>
        <w:rPr>
          <w:rFonts w:ascii="Calibri" w:hAnsi="Calibri" w:eastAsia="宋体" w:cs="Times New Roman"/>
          <w:sz w:val="32"/>
          <w:szCs w:val="32"/>
        </w:rPr>
      </w:pPr>
    </w:p>
    <w:p>
      <w:pPr>
        <w:spacing w:line="560" w:lineRule="exact"/>
        <w:rPr>
          <w:rFonts w:ascii="Calibri" w:hAnsi="Calibri" w:eastAsia="宋体" w:cs="Times New Roman"/>
          <w:sz w:val="32"/>
          <w:szCs w:val="32"/>
        </w:rPr>
      </w:pPr>
    </w:p>
    <w:p>
      <w:pPr>
        <w:spacing w:line="560" w:lineRule="exact"/>
        <w:rPr>
          <w:rFonts w:ascii="Calibri" w:hAnsi="Calibri" w:eastAsia="宋体" w:cs="Times New Roman"/>
          <w:sz w:val="32"/>
          <w:szCs w:val="32"/>
        </w:rPr>
      </w:pPr>
    </w:p>
    <w:p>
      <w:pPr>
        <w:spacing w:line="560" w:lineRule="exact"/>
        <w:jc w:val="center"/>
        <w:rPr>
          <w:rFonts w:ascii="仿宋_GB2312" w:hAnsi="Calibri" w:eastAsia="仿宋_GB2312" w:cs="Times New Roman"/>
          <w:sz w:val="32"/>
          <w:szCs w:val="32"/>
        </w:rPr>
      </w:pPr>
    </w:p>
    <w:p>
      <w:pPr>
        <w:spacing w:before="156" w:beforeLines="50" w:line="560" w:lineRule="exact"/>
        <w:jc w:val="center"/>
        <w:rPr>
          <w:rFonts w:ascii="仿宋_GB2312" w:hAnsi="Calibri" w:eastAsia="仿宋_GB2312" w:cs="Times New Roman"/>
          <w:sz w:val="32"/>
          <w:szCs w:val="32"/>
        </w:rPr>
      </w:pPr>
      <w:r>
        <w:rPr>
          <w:rFonts w:hint="eastAsia" w:ascii="仿宋_GB2312" w:hAnsi="Calibri" w:eastAsia="仿宋_GB2312" w:cs="Times New Roman"/>
          <w:sz w:val="32"/>
          <w:szCs w:val="32"/>
        </w:rPr>
        <w:t>历下政发〔2023〕</w:t>
      </w:r>
      <w:r>
        <w:rPr>
          <w:rFonts w:hint="eastAsia" w:ascii="仿宋_GB2312" w:eastAsia="仿宋_GB2312"/>
          <w:sz w:val="32"/>
          <w:szCs w:val="32"/>
        </w:rPr>
        <w:t>1</w:t>
      </w:r>
      <w:r>
        <w:rPr>
          <w:rFonts w:hint="eastAsia" w:ascii="仿宋_GB2312" w:hAnsi="Calibri" w:eastAsia="仿宋_GB2312" w:cs="Times New Roman"/>
          <w:sz w:val="32"/>
          <w:szCs w:val="32"/>
        </w:rPr>
        <w:t>号</w:t>
      </w:r>
    </w:p>
    <w:p>
      <w:pPr>
        <w:spacing w:line="560" w:lineRule="exact"/>
        <w:jc w:val="center"/>
        <w:rPr>
          <w:rFonts w:ascii="仿宋_GB2312" w:hAnsi="Calibri" w:eastAsia="仿宋_GB2312" w:cs="Times New Roman"/>
          <w:sz w:val="32"/>
          <w:szCs w:val="32"/>
        </w:rPr>
      </w:pPr>
    </w:p>
    <w:p>
      <w:pPr>
        <w:spacing w:line="560" w:lineRule="exact"/>
        <w:jc w:val="center"/>
        <w:rPr>
          <w:rFonts w:ascii="方正小标宋简体" w:hAnsi="Calibri" w:eastAsia="方正小标宋简体" w:cs="Times New Roman"/>
          <w:bCs/>
          <w:sz w:val="44"/>
          <w:szCs w:val="44"/>
        </w:rPr>
      </w:pPr>
      <w:r>
        <w:rPr>
          <w:rFonts w:hint="eastAsia" w:ascii="方正小标宋简体" w:hAnsi="Calibri" w:eastAsia="方正小标宋简体" w:cs="Times New Roman"/>
          <w:bCs/>
          <w:sz w:val="44"/>
          <w:szCs w:val="44"/>
        </w:rPr>
        <w:t>济南市历下区人民政府</w:t>
      </w:r>
    </w:p>
    <w:p>
      <w:pPr>
        <w:spacing w:line="560" w:lineRule="exact"/>
        <w:jc w:val="center"/>
        <w:rPr>
          <w:rFonts w:ascii="方正小标宋简体" w:eastAsia="方正小标宋简体" w:cs="方正小标宋简体"/>
          <w:sz w:val="44"/>
          <w:szCs w:val="44"/>
        </w:rPr>
      </w:pPr>
      <w:r>
        <w:rPr>
          <w:rFonts w:hint="eastAsia" w:ascii="方正小标宋简体" w:eastAsia="方正小标宋简体" w:cs="方正小标宋简体"/>
          <w:sz w:val="44"/>
          <w:szCs w:val="44"/>
        </w:rPr>
        <w:t>关于印发济南市历下区区级行政事业性</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eastAsia="方正小标宋简体" w:cs="方正小标宋简体"/>
          <w:sz w:val="44"/>
          <w:szCs w:val="44"/>
        </w:rPr>
        <w:t>国有资产处置管理办法的通知</w:t>
      </w:r>
    </w:p>
    <w:p>
      <w:pPr>
        <w:spacing w:line="560" w:lineRule="exact"/>
        <w:rPr>
          <w:rFonts w:ascii="仿宋_GB2312" w:eastAsia="仿宋_GB2312"/>
          <w:sz w:val="32"/>
          <w:szCs w:val="32"/>
        </w:rPr>
      </w:pPr>
    </w:p>
    <w:p>
      <w:pPr>
        <w:spacing w:line="560" w:lineRule="exact"/>
        <w:rPr>
          <w:rFonts w:ascii="仿宋_GB2312" w:eastAsia="仿宋_GB2312"/>
          <w:sz w:val="32"/>
          <w:szCs w:val="32"/>
        </w:rPr>
      </w:pPr>
      <w:r>
        <w:rPr>
          <w:rFonts w:hint="eastAsia" w:ascii="仿宋_GB2312" w:eastAsia="仿宋_GB2312"/>
          <w:sz w:val="32"/>
          <w:szCs w:val="32"/>
        </w:rPr>
        <w:t>各街道办事处，区政府各部门（单位）：</w:t>
      </w:r>
    </w:p>
    <w:p>
      <w:pPr>
        <w:spacing w:line="560" w:lineRule="exact"/>
        <w:ind w:firstLine="640" w:firstLineChars="200"/>
        <w:rPr>
          <w:rFonts w:ascii="方正小标宋简体" w:hAnsi="方正小标宋简体" w:eastAsia="方正小标宋简体" w:cs="方正小标宋简体"/>
          <w:sz w:val="44"/>
          <w:szCs w:val="44"/>
        </w:rPr>
      </w:pPr>
      <w:r>
        <w:rPr>
          <w:rFonts w:hint="eastAsia" w:ascii="仿宋_GB2312" w:eastAsia="仿宋_GB2312"/>
          <w:sz w:val="32"/>
          <w:szCs w:val="32"/>
        </w:rPr>
        <w:t>现将《济南市历下区区级行政事业性国有资产处置管理办法》印发给你们，请结合实际，认真贯彻执行。</w:t>
      </w:r>
    </w:p>
    <w:p>
      <w:pPr>
        <w:spacing w:line="560" w:lineRule="exact"/>
        <w:rPr>
          <w:rFonts w:ascii="仿宋_GB2312" w:eastAsia="仿宋_GB2312"/>
          <w:sz w:val="32"/>
          <w:szCs w:val="32"/>
        </w:rPr>
      </w:pPr>
    </w:p>
    <w:p>
      <w:pPr>
        <w:spacing w:line="560" w:lineRule="exact"/>
        <w:ind w:firstLine="640" w:firstLineChars="200"/>
        <w:rPr>
          <w:rFonts w:ascii="仿宋_GB2312" w:hAnsi="仿宋_GB2312" w:eastAsia="仿宋_GB2312" w:cs="仿宋_GB2312"/>
          <w:sz w:val="32"/>
          <w:szCs w:val="32"/>
          <w:shd w:val="clear" w:color="auto" w:fill="FFFFFF"/>
        </w:rPr>
      </w:pPr>
    </w:p>
    <w:p>
      <w:pPr>
        <w:spacing w:line="56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 xml:space="preserve">                        济南市历下区人民政府</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 xml:space="preserve">                          2023年2月24日</w:t>
      </w:r>
    </w:p>
    <w:p>
      <w:pPr>
        <w:tabs>
          <w:tab w:val="left" w:pos="7920"/>
          <w:tab w:val="left" w:pos="8460"/>
        </w:tabs>
        <w:snapToGrid w:val="0"/>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（此件公开发布）</w:t>
      </w:r>
    </w:p>
    <w:p>
      <w:pPr>
        <w:tabs>
          <w:tab w:val="left" w:pos="7920"/>
          <w:tab w:val="left" w:pos="8460"/>
        </w:tabs>
        <w:snapToGrid w:val="0"/>
        <w:spacing w:after="156" w:afterLines="50" w:line="560" w:lineRule="exact"/>
        <w:ind w:firstLine="280" w:firstLineChars="100"/>
        <w:rPr>
          <w:rFonts w:ascii="仿宋_GB2312" w:eastAsia="仿宋_GB2312" w:cs="仿宋_GB2312"/>
          <w:sz w:val="28"/>
          <w:szCs w:val="28"/>
        </w:rPr>
      </w:pPr>
    </w:p>
    <w:p>
      <w:pPr>
        <w:tabs>
          <w:tab w:val="left" w:pos="7920"/>
          <w:tab w:val="left" w:pos="8460"/>
        </w:tabs>
        <w:snapToGrid w:val="0"/>
        <w:spacing w:after="156" w:afterLines="50" w:line="560" w:lineRule="exact"/>
        <w:ind w:firstLine="280" w:firstLineChars="100"/>
        <w:rPr>
          <w:rFonts w:ascii="仿宋_GB2312" w:eastAsia="仿宋_GB2312" w:cs="仿宋_GB2312"/>
          <w:sz w:val="28"/>
          <w:szCs w:val="28"/>
        </w:rPr>
      </w:pPr>
    </w:p>
    <w:p>
      <w:pPr>
        <w:widowControl/>
        <w:spacing w:line="560" w:lineRule="exact"/>
        <w:jc w:val="center"/>
        <w:rPr>
          <w:rFonts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济南市历下区区级行政事业性国有资产</w:t>
      </w:r>
    </w:p>
    <w:p>
      <w:pPr>
        <w:widowControl/>
        <w:spacing w:line="560" w:lineRule="exact"/>
        <w:jc w:val="center"/>
        <w:rPr>
          <w:rFonts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处置管理办法</w:t>
      </w:r>
    </w:p>
    <w:p>
      <w:pPr>
        <w:widowControl/>
        <w:spacing w:line="560" w:lineRule="exact"/>
        <w:ind w:firstLine="643" w:firstLineChars="200"/>
        <w:rPr>
          <w:rFonts w:ascii="黑体" w:hAnsi="微软雅黑" w:eastAsia="黑体" w:cs="微软雅黑"/>
          <w:b/>
          <w:bCs/>
          <w:kern w:val="0"/>
          <w:sz w:val="32"/>
          <w:szCs w:val="32"/>
        </w:rPr>
      </w:pPr>
    </w:p>
    <w:p>
      <w:pPr>
        <w:widowControl/>
        <w:spacing w:after="156" w:afterLines="50" w:line="560" w:lineRule="exact"/>
        <w:jc w:val="center"/>
        <w:rPr>
          <w:rFonts w:cs="微软雅黑" w:asciiTheme="minorEastAsia" w:hAnsiTheme="minorEastAsia"/>
          <w:bCs/>
          <w:kern w:val="0"/>
          <w:sz w:val="32"/>
          <w:szCs w:val="32"/>
        </w:rPr>
      </w:pPr>
      <w:r>
        <w:rPr>
          <w:rFonts w:hint="eastAsia" w:cs="微软雅黑" w:asciiTheme="minorEastAsia" w:hAnsiTheme="minorEastAsia"/>
          <w:bCs/>
          <w:kern w:val="0"/>
          <w:sz w:val="32"/>
          <w:szCs w:val="32"/>
        </w:rPr>
        <w:t>第一章　　总  则</w:t>
      </w:r>
    </w:p>
    <w:p>
      <w:pPr>
        <w:spacing w:line="560" w:lineRule="exact"/>
        <w:ind w:firstLine="640" w:firstLineChars="200"/>
        <w:rPr>
          <w:rFonts w:ascii="仿宋_GB2312" w:hAnsi="微软雅黑" w:eastAsia="仿宋_GB2312" w:cs="微软雅黑"/>
          <w:sz w:val="32"/>
          <w:szCs w:val="32"/>
        </w:rPr>
      </w:pPr>
      <w:r>
        <w:rPr>
          <w:rFonts w:hint="eastAsia" w:ascii="黑体" w:hAnsi="黑体" w:eastAsia="黑体" w:cs="微软雅黑"/>
          <w:sz w:val="32"/>
          <w:szCs w:val="32"/>
        </w:rPr>
        <w:t>第一条</w:t>
      </w:r>
      <w:r>
        <w:rPr>
          <w:rFonts w:hint="eastAsia" w:ascii="仿宋_GB2312" w:hAnsi="微软雅黑" w:eastAsia="仿宋_GB2312" w:cs="微软雅黑"/>
          <w:sz w:val="32"/>
          <w:szCs w:val="32"/>
        </w:rPr>
        <w:t xml:space="preserve">  为加强区级行政事业单位国有资产处置管理，维护国有资产安全和完整，提高国有资产使用效益，防止国有资产流失，根据《行政单位国有资产管理暂行办法》（财政部令第35号）、《事业单位国有资产管理暂行办法》（财政部令第36号）、《济南市市级行政事业国有资产处置管理办法》（济财资〔201</w:t>
      </w:r>
      <w:r>
        <w:rPr>
          <w:rFonts w:ascii="仿宋_GB2312" w:hAnsi="微软雅黑" w:eastAsia="仿宋_GB2312" w:cs="微软雅黑"/>
          <w:sz w:val="32"/>
          <w:szCs w:val="32"/>
        </w:rPr>
        <w:t>7</w:t>
      </w:r>
      <w:r>
        <w:rPr>
          <w:rFonts w:hint="eastAsia" w:ascii="仿宋_GB2312" w:hAnsi="微软雅黑" w:eastAsia="仿宋_GB2312" w:cs="微软雅黑"/>
          <w:sz w:val="32"/>
          <w:szCs w:val="32"/>
        </w:rPr>
        <w:t>〕5</w:t>
      </w:r>
      <w:r>
        <w:rPr>
          <w:rFonts w:ascii="仿宋_GB2312" w:hAnsi="微软雅黑" w:eastAsia="仿宋_GB2312" w:cs="微软雅黑"/>
          <w:sz w:val="32"/>
          <w:szCs w:val="32"/>
        </w:rPr>
        <w:t>0</w:t>
      </w:r>
      <w:r>
        <w:rPr>
          <w:rFonts w:hint="eastAsia" w:ascii="仿宋_GB2312" w:hAnsi="微软雅黑" w:eastAsia="仿宋_GB2312" w:cs="微软雅黑"/>
          <w:sz w:val="32"/>
          <w:szCs w:val="32"/>
        </w:rPr>
        <w:t>号）等规章制度规定，结合我区实际，制定本办法。</w:t>
      </w:r>
    </w:p>
    <w:p>
      <w:pPr>
        <w:spacing w:line="560" w:lineRule="exact"/>
        <w:ind w:firstLine="640" w:firstLineChars="200"/>
        <w:rPr>
          <w:rFonts w:ascii="仿宋_GB2312" w:hAnsi="微软雅黑" w:eastAsia="仿宋_GB2312" w:cs="微软雅黑"/>
          <w:sz w:val="32"/>
          <w:szCs w:val="32"/>
        </w:rPr>
      </w:pPr>
      <w:r>
        <w:rPr>
          <w:rFonts w:hint="eastAsia" w:ascii="黑体" w:hAnsi="黑体" w:eastAsia="黑体" w:cs="微软雅黑"/>
          <w:sz w:val="32"/>
          <w:szCs w:val="32"/>
        </w:rPr>
        <w:t>第二条</w:t>
      </w:r>
      <w:r>
        <w:rPr>
          <w:rFonts w:hint="eastAsia" w:ascii="仿宋_GB2312" w:hAnsi="微软雅黑" w:eastAsia="仿宋_GB2312" w:cs="微软雅黑"/>
          <w:kern w:val="0"/>
          <w:sz w:val="32"/>
          <w:szCs w:val="32"/>
        </w:rPr>
        <w:t xml:space="preserve">  </w:t>
      </w:r>
      <w:r>
        <w:rPr>
          <w:rFonts w:hint="eastAsia" w:ascii="仿宋_GB2312" w:hAnsi="微软雅黑" w:eastAsia="仿宋_GB2312" w:cs="微软雅黑"/>
          <w:sz w:val="32"/>
          <w:szCs w:val="32"/>
        </w:rPr>
        <w:t>本办法适用于执行行政、事业单位财务和会计制度的区级各类行政事业单位、社会团体和组织（以下简称区级单位）。</w:t>
      </w:r>
    </w:p>
    <w:p>
      <w:pPr>
        <w:spacing w:line="560" w:lineRule="exact"/>
        <w:ind w:firstLine="640" w:firstLineChars="200"/>
        <w:rPr>
          <w:rFonts w:ascii="仿宋_GB2312" w:hAnsi="微软雅黑" w:eastAsia="仿宋_GB2312" w:cs="微软雅黑"/>
          <w:sz w:val="32"/>
          <w:szCs w:val="32"/>
        </w:rPr>
      </w:pPr>
      <w:r>
        <w:rPr>
          <w:rFonts w:hint="eastAsia" w:ascii="黑体" w:hAnsi="黑体" w:eastAsia="黑体" w:cs="微软雅黑"/>
          <w:sz w:val="32"/>
          <w:szCs w:val="32"/>
        </w:rPr>
        <w:t>第三条</w:t>
      </w:r>
      <w:r>
        <w:rPr>
          <w:rFonts w:hint="eastAsia" w:ascii="仿宋_GB2312" w:hAnsi="微软雅黑" w:eastAsia="仿宋_GB2312" w:cs="微软雅黑"/>
          <w:kern w:val="0"/>
          <w:sz w:val="32"/>
          <w:szCs w:val="32"/>
        </w:rPr>
        <w:t>　本办法所称国有资产处置，是指区级单位占有、使用的国有资产产权转移及注销。</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kern w:val="0"/>
          <w:sz w:val="32"/>
          <w:szCs w:val="32"/>
        </w:rPr>
        <w:t>国有资产包括流动资产、固定资产、无形资产、对外投资（含股权）等。</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kern w:val="0"/>
          <w:sz w:val="32"/>
          <w:szCs w:val="32"/>
        </w:rPr>
        <w:t>处置方式包括调拨、捐赠、有偿转让（含出售、出让）、报废、报损（含货币性资产损失核销）、置换（含以非货币性资产抵顶债权、债务）</w:t>
      </w:r>
      <w:r>
        <w:rPr>
          <w:rFonts w:hint="eastAsia" w:ascii="仿宋_GB2312" w:hAnsi="微软雅黑" w:eastAsia="仿宋_GB2312" w:cs="微软雅黑"/>
          <w:sz w:val="32"/>
          <w:szCs w:val="32"/>
        </w:rPr>
        <w:t>以及国家规定的其他方式。</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 xml:space="preserve">调拨方式处置国有资产，以不改变国有资产性质为前提。  </w:t>
      </w:r>
    </w:p>
    <w:p>
      <w:pPr>
        <w:spacing w:line="560" w:lineRule="exact"/>
        <w:ind w:firstLine="640" w:firstLineChars="200"/>
        <w:rPr>
          <w:rFonts w:ascii="仿宋_GB2312" w:hAnsi="微软雅黑" w:eastAsia="仿宋_GB2312" w:cs="微软雅黑"/>
          <w:sz w:val="32"/>
          <w:szCs w:val="32"/>
        </w:rPr>
      </w:pPr>
      <w:r>
        <w:rPr>
          <w:rFonts w:hint="eastAsia" w:ascii="黑体" w:hAnsi="黑体" w:eastAsia="黑体" w:cs="微软雅黑"/>
          <w:sz w:val="32"/>
          <w:szCs w:val="32"/>
        </w:rPr>
        <w:t>第四条</w:t>
      </w:r>
      <w:r>
        <w:rPr>
          <w:rFonts w:hint="eastAsia" w:ascii="仿宋_GB2312" w:hAnsi="微软雅黑" w:eastAsia="仿宋_GB2312" w:cs="微软雅黑"/>
          <w:sz w:val="32"/>
          <w:szCs w:val="32"/>
        </w:rPr>
        <w:t>　区级单位国有资产处置实行审批制度。区国有资产管理领导小组、区财政局、区级单位主管部门（以下简称主管部门）按照规定权限和程序对区级单位国有资产处置事项进行审批（审核）。</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区级单位处置房屋建筑物（含土地使用权）、机动车辆、对外投资（含股权）等国有资产，按本办法规定权限和程序报经批准后，方可向房屋登记、国土资源、公安交通管理和工商等部门申请办理产权、产籍、股权等变更或者注销手续。</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未按规定权限和程序报经批准，任何单位和个人不得擅自处置国有资产，不得处理相关会计账务。</w:t>
      </w:r>
    </w:p>
    <w:p>
      <w:pPr>
        <w:spacing w:line="560" w:lineRule="exact"/>
        <w:ind w:firstLine="640" w:firstLineChars="200"/>
        <w:rPr>
          <w:rFonts w:ascii="仿宋_GB2312" w:hAnsi="微软雅黑" w:eastAsia="仿宋_GB2312" w:cs="微软雅黑"/>
          <w:spacing w:val="6"/>
          <w:sz w:val="32"/>
          <w:szCs w:val="32"/>
        </w:rPr>
      </w:pPr>
      <w:r>
        <w:rPr>
          <w:rFonts w:hint="eastAsia" w:ascii="黑体" w:hAnsi="黑体" w:eastAsia="黑体" w:cs="微软雅黑"/>
          <w:sz w:val="32"/>
          <w:szCs w:val="32"/>
        </w:rPr>
        <w:t>第五条</w:t>
      </w:r>
      <w:r>
        <w:rPr>
          <w:rFonts w:hint="eastAsia" w:ascii="仿宋_GB2312" w:hAnsi="微软雅黑" w:eastAsia="仿宋_GB2312" w:cs="微软雅黑"/>
          <w:sz w:val="32"/>
          <w:szCs w:val="32"/>
        </w:rPr>
        <w:t xml:space="preserve">  </w:t>
      </w:r>
      <w:r>
        <w:rPr>
          <w:rFonts w:hint="eastAsia" w:ascii="仿宋_GB2312" w:hAnsi="微软雅黑" w:eastAsia="仿宋_GB2312" w:cs="微软雅黑"/>
          <w:spacing w:val="6"/>
          <w:sz w:val="32"/>
          <w:szCs w:val="32"/>
        </w:rPr>
        <w:t>区级单位拟处置的国有资产产权应当清晰。权属关系不明确或者存在权属纠纷的资产，须待权属界定明确后予以处置；申请处置租赁期未满的资产应当符合国家法律法规的规定；被设置为担保物和涉及法律诉讼的国有资产，担保和法律诉讼期间不得申请处置，国家法律法规另有规定的，从其规定。</w:t>
      </w:r>
    </w:p>
    <w:p>
      <w:pPr>
        <w:spacing w:line="560" w:lineRule="exact"/>
        <w:ind w:firstLine="640" w:firstLineChars="200"/>
        <w:rPr>
          <w:rFonts w:ascii="仿宋_GB2312" w:hAnsi="微软雅黑" w:eastAsia="仿宋_GB2312" w:cs="微软雅黑"/>
          <w:sz w:val="32"/>
          <w:szCs w:val="32"/>
        </w:rPr>
      </w:pPr>
      <w:r>
        <w:rPr>
          <w:rFonts w:hint="eastAsia" w:ascii="黑体" w:hAnsi="黑体" w:eastAsia="黑体" w:cs="微软雅黑"/>
          <w:sz w:val="32"/>
          <w:szCs w:val="32"/>
        </w:rPr>
        <w:t>第六条</w:t>
      </w:r>
      <w:r>
        <w:rPr>
          <w:rFonts w:hint="eastAsia" w:ascii="仿宋_GB2312" w:hAnsi="微软雅黑" w:eastAsia="仿宋_GB2312" w:cs="微软雅黑"/>
          <w:sz w:val="32"/>
          <w:szCs w:val="32"/>
        </w:rPr>
        <w:t xml:space="preserve">  区级单位国有资产处置遵循“公开、公平、公正”的原则，一般程序是：单位申报、审核审批、资产评估、资产处置、上缴收入、账务处理、产权登记。 </w:t>
      </w:r>
    </w:p>
    <w:p>
      <w:pPr>
        <w:spacing w:line="560" w:lineRule="exact"/>
        <w:ind w:firstLine="640" w:firstLineChars="200"/>
        <w:rPr>
          <w:rFonts w:ascii="仿宋_GB2312" w:hAnsi="微软雅黑" w:eastAsia="仿宋_GB2312" w:cs="微软雅黑"/>
          <w:sz w:val="32"/>
          <w:szCs w:val="32"/>
        </w:rPr>
      </w:pPr>
      <w:r>
        <w:rPr>
          <w:rFonts w:hint="eastAsia" w:ascii="黑体" w:hAnsi="黑体" w:eastAsia="黑体" w:cs="微软雅黑"/>
          <w:sz w:val="32"/>
          <w:szCs w:val="32"/>
        </w:rPr>
        <w:t>第七条</w:t>
      </w:r>
      <w:r>
        <w:rPr>
          <w:rFonts w:hint="eastAsia" w:ascii="仿宋_GB2312" w:hAnsi="微软雅黑" w:eastAsia="仿宋_GB2312" w:cs="微软雅黑"/>
          <w:sz w:val="32"/>
          <w:szCs w:val="32"/>
        </w:rPr>
        <w:t xml:space="preserve">  区国有资产管理领导小组、区财政局、主管部门在本办法规定的审批权限范围内，对区级单位申请处置，或者超标配置、低效运转、长期闲置的国有资产，有权先行调剂使用，促进资源整合和资产共享共用，提高国有资产使用效益。</w:t>
      </w:r>
    </w:p>
    <w:p>
      <w:pPr>
        <w:spacing w:line="560" w:lineRule="exact"/>
        <w:ind w:firstLine="640" w:firstLineChars="200"/>
        <w:rPr>
          <w:rFonts w:ascii="仿宋_GB2312" w:hAnsi="微软雅黑" w:eastAsia="仿宋_GB2312" w:cs="微软雅黑"/>
          <w:sz w:val="32"/>
          <w:szCs w:val="32"/>
        </w:rPr>
      </w:pPr>
      <w:r>
        <w:rPr>
          <w:rFonts w:hint="eastAsia" w:ascii="黑体" w:hAnsi="黑体" w:eastAsia="黑体" w:cs="微软雅黑"/>
          <w:sz w:val="32"/>
          <w:szCs w:val="32"/>
        </w:rPr>
        <w:t>第八条</w:t>
      </w:r>
      <w:r>
        <w:rPr>
          <w:rFonts w:hint="eastAsia" w:ascii="仿宋_GB2312" w:hAnsi="微软雅黑" w:eastAsia="仿宋_GB2312" w:cs="微软雅黑"/>
          <w:sz w:val="32"/>
          <w:szCs w:val="32"/>
        </w:rPr>
        <w:t xml:space="preserve">  区级单位应当建立健全内部国有资产管理制度，严格管理产权、产籍等档案资料，充分利用“历下区行政事业资产管理信息系统”开展日常资产管理工作，严格按照国家有关财务和会计制度规定，及时准确反映资产增减变动情况，规范资产处置行为和流程，确保国有资产安全完整及合理、节约、有效使用。</w:t>
      </w:r>
    </w:p>
    <w:p>
      <w:pPr>
        <w:spacing w:line="560" w:lineRule="exact"/>
        <w:ind w:firstLine="640" w:firstLineChars="200"/>
        <w:rPr>
          <w:rFonts w:ascii="黑体" w:hAnsi="微软雅黑" w:eastAsia="黑体" w:cs="微软雅黑"/>
          <w:bCs/>
          <w:sz w:val="32"/>
          <w:szCs w:val="32"/>
        </w:rPr>
      </w:pPr>
    </w:p>
    <w:p>
      <w:pPr>
        <w:spacing w:after="156" w:afterLines="50" w:line="560" w:lineRule="exact"/>
        <w:jc w:val="center"/>
        <w:rPr>
          <w:rFonts w:ascii="宋体" w:hAnsi="宋体" w:eastAsia="宋体" w:cs="微软雅黑"/>
          <w:bCs/>
          <w:sz w:val="32"/>
          <w:szCs w:val="32"/>
        </w:rPr>
      </w:pPr>
      <w:r>
        <w:rPr>
          <w:rFonts w:hint="eastAsia" w:ascii="宋体" w:hAnsi="宋体" w:eastAsia="宋体" w:cs="微软雅黑"/>
          <w:bCs/>
          <w:sz w:val="32"/>
          <w:szCs w:val="32"/>
        </w:rPr>
        <w:t>第二章　　审批管理</w:t>
      </w:r>
    </w:p>
    <w:p>
      <w:pPr>
        <w:spacing w:line="560" w:lineRule="exact"/>
        <w:ind w:firstLine="640" w:firstLineChars="200"/>
        <w:rPr>
          <w:rFonts w:ascii="仿宋_GB2312" w:hAnsi="微软雅黑" w:eastAsia="仿宋_GB2312" w:cs="微软雅黑"/>
          <w:sz w:val="32"/>
          <w:szCs w:val="32"/>
        </w:rPr>
      </w:pPr>
      <w:r>
        <w:rPr>
          <w:rFonts w:hint="eastAsia" w:ascii="黑体" w:hAnsi="黑体" w:eastAsia="黑体" w:cs="微软雅黑"/>
          <w:sz w:val="32"/>
          <w:szCs w:val="32"/>
        </w:rPr>
        <w:t>第九条</w:t>
      </w:r>
      <w:r>
        <w:rPr>
          <w:rFonts w:hint="eastAsia" w:ascii="仿宋_GB2312" w:hAnsi="微软雅黑" w:eastAsia="仿宋_GB2312" w:cs="微软雅黑"/>
          <w:sz w:val="32"/>
          <w:szCs w:val="32"/>
        </w:rPr>
        <w:t>　区级单位符合下列条件之一的国有资产可以申请处置：</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（一）经技术鉴定已丧失使用价值的资产；</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（二）按照国家规定强制报废的资产；</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（三）盘亏、呆账及非正常损失的资产；</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（四）闲置资产；</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（五）超标准配置的资产；</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（六）因技术原因不能满足本单位工作需要的资产；</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（七）抵顶债务的非货币性资产；</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（八）已达到国家、省或者市规定使用期限，继续使用不经济的资产；</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（九）在不影响本单位业务正常开展的前提下，权属关系变更能够带来更大经济效益或者能够减少经济损失的资产；</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（十）法律上所有权已经丧失或者无法追索的资产；</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（十一）因单位撤销、合并、分立、改制、隶属关系改变等原因需要处置的资产；</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（十二）依据国家规定需要处置的其他资产。</w:t>
      </w:r>
    </w:p>
    <w:p>
      <w:pPr>
        <w:spacing w:line="560" w:lineRule="exact"/>
        <w:ind w:firstLine="640" w:firstLineChars="200"/>
        <w:rPr>
          <w:rFonts w:ascii="仿宋_GB2312" w:hAnsi="微软雅黑" w:eastAsia="仿宋_GB2312" w:cs="微软雅黑"/>
          <w:b/>
          <w:sz w:val="32"/>
          <w:szCs w:val="32"/>
        </w:rPr>
      </w:pPr>
      <w:r>
        <w:rPr>
          <w:rFonts w:hint="eastAsia" w:ascii="黑体" w:hAnsi="黑体" w:eastAsia="黑体" w:cs="微软雅黑"/>
          <w:sz w:val="32"/>
          <w:szCs w:val="32"/>
        </w:rPr>
        <w:t>第十条</w:t>
      </w:r>
      <w:r>
        <w:rPr>
          <w:rFonts w:hint="eastAsia" w:ascii="仿宋_GB2312" w:hAnsi="微软雅黑" w:eastAsia="仿宋_GB2312" w:cs="微软雅黑"/>
          <w:b/>
          <w:sz w:val="32"/>
          <w:szCs w:val="32"/>
        </w:rPr>
        <w:t xml:space="preserve">  </w:t>
      </w:r>
      <w:r>
        <w:rPr>
          <w:rFonts w:hint="eastAsia" w:ascii="仿宋_GB2312" w:hAnsi="微软雅黑" w:eastAsia="仿宋_GB2312" w:cs="微软雅黑"/>
          <w:sz w:val="32"/>
          <w:szCs w:val="32"/>
        </w:rPr>
        <w:t>审批权限。</w:t>
      </w:r>
    </w:p>
    <w:p>
      <w:pPr>
        <w:numPr>
          <w:ilvl w:val="0"/>
          <w:numId w:val="1"/>
        </w:numPr>
        <w:spacing w:line="560" w:lineRule="exact"/>
        <w:ind w:left="0"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区级单位有下列资产处置行为之一的，由单位提出书面申请（二级预算单位需经主管部门审核），区财政局初审分管区长签批后，报区国有资产管理领导小组审议（见附件1），区财政局根据审议结论进行批复。</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1</w:t>
      </w:r>
      <w:r>
        <w:rPr>
          <w:rFonts w:ascii="仿宋_GB2312" w:hAnsi="微软雅黑" w:eastAsia="仿宋_GB2312" w:cs="微软雅黑"/>
          <w:sz w:val="32"/>
          <w:szCs w:val="32"/>
        </w:rPr>
        <w:t>.</w:t>
      </w:r>
      <w:r>
        <w:rPr>
          <w:rFonts w:hint="eastAsia" w:ascii="仿宋_GB2312" w:hAnsi="微软雅黑" w:eastAsia="仿宋_GB2312" w:cs="微软雅黑"/>
          <w:sz w:val="32"/>
          <w:szCs w:val="32"/>
        </w:rPr>
        <w:t xml:space="preserve"> 房屋建筑物（含土地使用权）；</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2</w:t>
      </w:r>
      <w:r>
        <w:rPr>
          <w:rFonts w:ascii="仿宋_GB2312" w:hAnsi="微软雅黑" w:eastAsia="仿宋_GB2312" w:cs="微软雅黑"/>
          <w:sz w:val="32"/>
          <w:szCs w:val="32"/>
        </w:rPr>
        <w:t>.</w:t>
      </w:r>
      <w:r>
        <w:rPr>
          <w:rFonts w:hint="eastAsia" w:ascii="仿宋_GB2312" w:hAnsi="微软雅黑" w:eastAsia="仿宋_GB2312" w:cs="微软雅黑"/>
          <w:sz w:val="32"/>
          <w:szCs w:val="32"/>
        </w:rPr>
        <w:t xml:space="preserve"> 货币性资产（含货币资金及往来款项）；</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3</w:t>
      </w:r>
      <w:r>
        <w:rPr>
          <w:rFonts w:ascii="仿宋_GB2312" w:hAnsi="微软雅黑" w:eastAsia="仿宋_GB2312" w:cs="微软雅黑"/>
          <w:sz w:val="32"/>
          <w:szCs w:val="32"/>
        </w:rPr>
        <w:t>.</w:t>
      </w:r>
      <w:r>
        <w:rPr>
          <w:rFonts w:hint="eastAsia" w:ascii="仿宋_GB2312" w:hAnsi="微软雅黑" w:eastAsia="仿宋_GB2312" w:cs="微软雅黑"/>
          <w:sz w:val="32"/>
          <w:szCs w:val="32"/>
        </w:rPr>
        <w:t xml:space="preserve"> 对外投资（含股权）；</w:t>
      </w:r>
    </w:p>
    <w:p>
      <w:pPr>
        <w:spacing w:line="560" w:lineRule="exact"/>
        <w:ind w:firstLine="640" w:firstLineChars="200"/>
        <w:rPr>
          <w:rFonts w:ascii="仿宋_GB2312" w:hAnsi="微软雅黑" w:eastAsia="仿宋_GB2312" w:cs="微软雅黑"/>
          <w:sz w:val="32"/>
          <w:szCs w:val="32"/>
        </w:rPr>
      </w:pPr>
      <w:r>
        <w:rPr>
          <w:rFonts w:ascii="仿宋_GB2312" w:hAnsi="微软雅黑" w:eastAsia="仿宋_GB2312" w:cs="微软雅黑"/>
          <w:sz w:val="32"/>
          <w:szCs w:val="32"/>
        </w:rPr>
        <w:t>4.</w:t>
      </w:r>
      <w:r>
        <w:rPr>
          <w:rFonts w:hint="eastAsia" w:ascii="仿宋_GB2312" w:hAnsi="微软雅黑" w:eastAsia="仿宋_GB2312" w:cs="微软雅黑"/>
          <w:sz w:val="32"/>
          <w:szCs w:val="32"/>
        </w:rPr>
        <w:t xml:space="preserve"> 占有单位向外辖区处置资产的；</w:t>
      </w:r>
    </w:p>
    <w:p>
      <w:pPr>
        <w:spacing w:line="560" w:lineRule="exact"/>
        <w:ind w:firstLine="640" w:firstLineChars="200"/>
        <w:rPr>
          <w:rFonts w:ascii="仿宋_GB2312" w:hAnsi="微软雅黑" w:eastAsia="仿宋_GB2312" w:cs="微软雅黑"/>
          <w:sz w:val="32"/>
          <w:szCs w:val="32"/>
        </w:rPr>
      </w:pPr>
      <w:r>
        <w:rPr>
          <w:rFonts w:ascii="仿宋_GB2312" w:hAnsi="微软雅黑" w:eastAsia="仿宋_GB2312" w:cs="微软雅黑"/>
          <w:sz w:val="32"/>
          <w:szCs w:val="32"/>
        </w:rPr>
        <w:t>5.</w:t>
      </w:r>
      <w:r>
        <w:rPr>
          <w:rFonts w:hint="eastAsia" w:ascii="仿宋_GB2312" w:hAnsi="微软雅黑" w:eastAsia="仿宋_GB2312" w:cs="微软雅黑"/>
          <w:sz w:val="32"/>
          <w:szCs w:val="32"/>
        </w:rPr>
        <w:t xml:space="preserve"> 占有单位资产处置给非行政事业单位的。</w:t>
      </w:r>
    </w:p>
    <w:p>
      <w:pPr>
        <w:numPr>
          <w:ilvl w:val="0"/>
          <w:numId w:val="1"/>
        </w:numPr>
        <w:spacing w:line="560" w:lineRule="exact"/>
        <w:ind w:left="0"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区级单位有下列资产处置行为之一的，由单位提出书面申请（二级预算单位需经主管部门审核）（见附件2），区财政局初审分管区长签批后，报区财政局审批。</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1</w:t>
      </w:r>
      <w:r>
        <w:rPr>
          <w:rFonts w:ascii="仿宋_GB2312" w:hAnsi="微软雅黑" w:eastAsia="仿宋_GB2312" w:cs="微软雅黑"/>
          <w:sz w:val="32"/>
          <w:szCs w:val="32"/>
        </w:rPr>
        <w:t>.</w:t>
      </w:r>
      <w:r>
        <w:rPr>
          <w:rFonts w:hint="eastAsia" w:ascii="仿宋_GB2312" w:hAnsi="微软雅黑" w:eastAsia="仿宋_GB2312" w:cs="微软雅黑"/>
          <w:sz w:val="32"/>
          <w:szCs w:val="32"/>
        </w:rPr>
        <w:t xml:space="preserve"> 单项账面原值大于 30 万元的交通运输工具；</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2</w:t>
      </w:r>
      <w:r>
        <w:rPr>
          <w:rFonts w:ascii="仿宋_GB2312" w:hAnsi="微软雅黑" w:eastAsia="仿宋_GB2312" w:cs="微软雅黑"/>
          <w:sz w:val="32"/>
          <w:szCs w:val="32"/>
        </w:rPr>
        <w:t>.</w:t>
      </w:r>
      <w:r>
        <w:rPr>
          <w:rFonts w:hint="eastAsia" w:ascii="仿宋_GB2312" w:hAnsi="微软雅黑" w:eastAsia="仿宋_GB2312" w:cs="微软雅黑"/>
          <w:sz w:val="32"/>
          <w:szCs w:val="32"/>
        </w:rPr>
        <w:t xml:space="preserve"> 单项账面原值大于 </w:t>
      </w:r>
      <w:r>
        <w:rPr>
          <w:rFonts w:ascii="仿宋_GB2312" w:hAnsi="微软雅黑" w:eastAsia="仿宋_GB2312" w:cs="微软雅黑"/>
          <w:sz w:val="32"/>
          <w:szCs w:val="32"/>
        </w:rPr>
        <w:t>1</w:t>
      </w:r>
      <w:r>
        <w:rPr>
          <w:rFonts w:hint="eastAsia" w:ascii="仿宋_GB2312" w:hAnsi="微软雅黑" w:eastAsia="仿宋_GB2312" w:cs="微软雅黑"/>
          <w:sz w:val="32"/>
          <w:szCs w:val="32"/>
        </w:rPr>
        <w:t>00 万元的无形资产（不含土地使用权）；</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3</w:t>
      </w:r>
      <w:r>
        <w:rPr>
          <w:rFonts w:ascii="仿宋_GB2312" w:hAnsi="微软雅黑" w:eastAsia="仿宋_GB2312" w:cs="微软雅黑"/>
          <w:sz w:val="32"/>
          <w:szCs w:val="32"/>
        </w:rPr>
        <w:t>.</w:t>
      </w:r>
      <w:r>
        <w:rPr>
          <w:rFonts w:hint="eastAsia" w:ascii="仿宋_GB2312" w:hAnsi="微软雅黑" w:eastAsia="仿宋_GB2312" w:cs="微软雅黑"/>
          <w:sz w:val="32"/>
          <w:szCs w:val="32"/>
        </w:rPr>
        <w:t xml:space="preserve"> 单项账面原值大于 </w:t>
      </w:r>
      <w:r>
        <w:rPr>
          <w:rFonts w:ascii="仿宋_GB2312" w:hAnsi="微软雅黑" w:eastAsia="仿宋_GB2312" w:cs="微软雅黑"/>
          <w:sz w:val="32"/>
          <w:szCs w:val="32"/>
        </w:rPr>
        <w:t>1</w:t>
      </w:r>
      <w:r>
        <w:rPr>
          <w:rFonts w:hint="eastAsia" w:ascii="仿宋_GB2312" w:hAnsi="微软雅黑" w:eastAsia="仿宋_GB2312" w:cs="微软雅黑"/>
          <w:sz w:val="32"/>
          <w:szCs w:val="32"/>
        </w:rPr>
        <w:t>00 万元的通用及专用设备；</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4</w:t>
      </w:r>
      <w:r>
        <w:rPr>
          <w:rFonts w:ascii="仿宋_GB2312" w:hAnsi="微软雅黑" w:eastAsia="仿宋_GB2312" w:cs="微软雅黑"/>
          <w:sz w:val="32"/>
          <w:szCs w:val="32"/>
        </w:rPr>
        <w:t>.</w:t>
      </w:r>
      <w:r>
        <w:rPr>
          <w:rFonts w:hint="eastAsia" w:ascii="仿宋_GB2312" w:hAnsi="微软雅黑" w:eastAsia="仿宋_GB2312" w:cs="微软雅黑"/>
          <w:sz w:val="32"/>
          <w:szCs w:val="32"/>
        </w:rPr>
        <w:t xml:space="preserve"> 单位撤销、合并、分立、改制、隶属关系改变等情形下的整体资产处置。</w:t>
      </w:r>
    </w:p>
    <w:p>
      <w:pPr>
        <w:spacing w:line="5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（三）上述规定以外的国有资产处置，由主管部门审批。主管部门对所属单位可适当下放审批权限。</w:t>
      </w:r>
    </w:p>
    <w:p>
      <w:pPr>
        <w:spacing w:line="5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区属学校、科研院所对持有的财政资金形成的科技成果，自主决定采取转让、许可、作价入股等方式开展转移转化活动，主管部门和区财政局对其科技成果使用、处置和收益分配不再审批备案。</w:t>
      </w:r>
    </w:p>
    <w:p>
      <w:pPr>
        <w:spacing w:line="560" w:lineRule="exact"/>
        <w:ind w:firstLine="640" w:firstLineChars="200"/>
        <w:rPr>
          <w:rFonts w:ascii="仿宋_GB2312" w:hAnsi="微软雅黑" w:eastAsia="仿宋_GB2312" w:cs="微软雅黑"/>
          <w:sz w:val="32"/>
          <w:szCs w:val="32"/>
        </w:rPr>
      </w:pPr>
      <w:r>
        <w:rPr>
          <w:rFonts w:hint="eastAsia" w:ascii="黑体" w:hAnsi="黑体" w:eastAsia="黑体" w:cs="微软雅黑"/>
          <w:sz w:val="32"/>
          <w:szCs w:val="32"/>
        </w:rPr>
        <w:t>第十一条</w:t>
      </w:r>
      <w:r>
        <w:rPr>
          <w:rFonts w:hint="eastAsia" w:ascii="仿宋_GB2312" w:hAnsi="微软雅黑" w:eastAsia="仿宋_GB2312" w:cs="微软雅黑"/>
          <w:sz w:val="32"/>
          <w:szCs w:val="32"/>
        </w:rPr>
        <w:t>　报批程序。</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 xml:space="preserve">区级单位申报国有资产处置事项，应当区别不同情况，提供相应的申办资料（见附件3）。 </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单位申报资产处置事项时，按本办法规定提供纸质申办材料，同时通过“历下区行政事业资产管理信息系统”进行网上办理。</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区财政局审批事项，主管部门负责对单位申办资料的合规性、真实性审核，提出审核意见后，转报区国有资产管理领导小组、区财政局审议审批；</w:t>
      </w:r>
      <w:r>
        <w:rPr>
          <w:rFonts w:hint="eastAsia" w:ascii="仿宋_GB2312" w:eastAsia="仿宋_GB2312"/>
          <w:snapToGrid w:val="0"/>
          <w:kern w:val="0"/>
          <w:sz w:val="32"/>
          <w:szCs w:val="32"/>
        </w:rPr>
        <w:t>主管部门审批事项，主管部门按照本办法规定审批，并抄送区财政局。</w:t>
      </w:r>
    </w:p>
    <w:p>
      <w:pPr>
        <w:spacing w:line="560" w:lineRule="exact"/>
        <w:ind w:firstLine="640" w:firstLineChars="200"/>
        <w:rPr>
          <w:rFonts w:ascii="仿宋_GB2312" w:hAnsi="微软雅黑" w:eastAsia="仿宋_GB2312" w:cs="微软雅黑"/>
          <w:sz w:val="32"/>
          <w:szCs w:val="32"/>
        </w:rPr>
      </w:pPr>
      <w:r>
        <w:rPr>
          <w:rFonts w:hint="eastAsia" w:ascii="黑体" w:hAnsi="黑体" w:eastAsia="黑体" w:cs="微软雅黑"/>
          <w:sz w:val="32"/>
          <w:szCs w:val="32"/>
        </w:rPr>
        <w:t>第十二条</w:t>
      </w:r>
      <w:r>
        <w:rPr>
          <w:rFonts w:hint="eastAsia" w:ascii="仿宋_GB2312" w:hAnsi="微软雅黑" w:eastAsia="仿宋_GB2312" w:cs="微软雅黑"/>
          <w:sz w:val="32"/>
          <w:szCs w:val="32"/>
        </w:rPr>
        <w:t xml:space="preserve">  审批（审核）时限。</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区财政局、主管部门根据需要，可对申报处置的国有资产进行现场勘查，或着委托有关机构进行鉴证。</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区财政局、主管部门自收到符合本办法规定要求的完整申办资料后14个工作日内按照规定权限审批或者审核转报；需区国有资产管理领导小组审议的，审议后14个工作日内批复；需进行现场勘查或者鉴证的，在勘查或者鉴证结束后14个工作日内按照规定权限审批或者审核转报。</w:t>
      </w:r>
    </w:p>
    <w:p>
      <w:pPr>
        <w:spacing w:line="560" w:lineRule="exact"/>
        <w:ind w:firstLine="640" w:firstLineChars="200"/>
        <w:rPr>
          <w:rFonts w:ascii="仿宋_GB2312" w:hAnsi="微软雅黑" w:eastAsia="仿宋_GB2312" w:cs="微软雅黑"/>
          <w:sz w:val="32"/>
          <w:szCs w:val="32"/>
        </w:rPr>
      </w:pPr>
      <w:r>
        <w:rPr>
          <w:rFonts w:hint="eastAsia" w:ascii="黑体" w:hAnsi="黑体" w:eastAsia="黑体" w:cs="微软雅黑"/>
          <w:sz w:val="32"/>
          <w:szCs w:val="32"/>
        </w:rPr>
        <w:t>第十三条</w:t>
      </w:r>
      <w:r>
        <w:rPr>
          <w:rFonts w:hint="eastAsia" w:ascii="仿宋_GB2312" w:hAnsi="微软雅黑" w:eastAsia="仿宋_GB2312" w:cs="微软雅黑"/>
          <w:sz w:val="32"/>
          <w:szCs w:val="32"/>
        </w:rPr>
        <w:t xml:space="preserve">　区级单位、主管部门对申办资料的真实性负责。社会中介机构及相关执业人员对所出具的审计报告、评估报告、经济或者技术鉴证证明、法律意见书等独立承担法律责任。                                    </w:t>
      </w:r>
    </w:p>
    <w:p>
      <w:pPr>
        <w:spacing w:line="560" w:lineRule="exact"/>
        <w:ind w:firstLine="640" w:firstLineChars="200"/>
        <w:rPr>
          <w:rFonts w:ascii="仿宋_GB2312" w:hAnsi="微软雅黑" w:eastAsia="仿宋_GB2312" w:cs="微软雅黑"/>
          <w:sz w:val="32"/>
          <w:szCs w:val="32"/>
        </w:rPr>
      </w:pPr>
      <w:r>
        <w:rPr>
          <w:rFonts w:hint="eastAsia" w:ascii="黑体" w:hAnsi="黑体" w:eastAsia="黑体" w:cs="微软雅黑"/>
          <w:sz w:val="32"/>
          <w:szCs w:val="32"/>
        </w:rPr>
        <w:t>第十四条</w:t>
      </w:r>
      <w:r>
        <w:rPr>
          <w:rFonts w:hint="eastAsia" w:ascii="仿宋_GB2312" w:hAnsi="微软雅黑" w:eastAsia="仿宋_GB2312" w:cs="微软雅黑"/>
          <w:sz w:val="32"/>
          <w:szCs w:val="32"/>
        </w:rPr>
        <w:t xml:space="preserve">  报批方式。</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审批调拨（区级单位之间）、报废国有资产事项采取审批表（见附件4、附件5）方式；审批调拨（不同预算级次之间）、捐赠、股权划转、有偿转让（含出售、出让）、报损、置换国有资产事项，以及因撤销、合并、分立、改制、隶属关系改变等原因进行国有资产整体处置的，采取公文报批方式。区级单位、主管部门应视其处置资产事项的类别，分别采用审批表或者正式公文形式申报。</w:t>
      </w:r>
    </w:p>
    <w:p>
      <w:pPr>
        <w:spacing w:line="560" w:lineRule="exact"/>
        <w:ind w:firstLine="640" w:firstLineChars="200"/>
        <w:rPr>
          <w:rFonts w:ascii="黑体" w:hAnsi="微软雅黑" w:eastAsia="黑体" w:cs="微软雅黑"/>
          <w:bCs/>
          <w:sz w:val="32"/>
          <w:szCs w:val="32"/>
        </w:rPr>
      </w:pPr>
    </w:p>
    <w:p>
      <w:pPr>
        <w:spacing w:after="156" w:afterLines="50" w:line="560" w:lineRule="exact"/>
        <w:jc w:val="center"/>
        <w:rPr>
          <w:rFonts w:cs="微软雅黑" w:asciiTheme="minorEastAsia" w:hAnsiTheme="minorEastAsia"/>
          <w:bCs/>
          <w:sz w:val="32"/>
          <w:szCs w:val="32"/>
        </w:rPr>
      </w:pPr>
      <w:r>
        <w:rPr>
          <w:rFonts w:hint="eastAsia" w:cs="微软雅黑" w:asciiTheme="minorEastAsia" w:hAnsiTheme="minorEastAsia"/>
          <w:bCs/>
          <w:sz w:val="32"/>
          <w:szCs w:val="32"/>
        </w:rPr>
        <w:t>第三章　　处置管理</w:t>
      </w:r>
    </w:p>
    <w:p>
      <w:pPr>
        <w:spacing w:line="560" w:lineRule="exact"/>
        <w:ind w:firstLine="640" w:firstLineChars="200"/>
        <w:rPr>
          <w:rFonts w:ascii="仿宋_GB2312" w:hAnsi="微软雅黑" w:eastAsia="仿宋_GB2312" w:cs="微软雅黑"/>
          <w:sz w:val="32"/>
          <w:szCs w:val="32"/>
        </w:rPr>
      </w:pPr>
      <w:r>
        <w:rPr>
          <w:rFonts w:hint="eastAsia" w:ascii="黑体" w:hAnsi="黑体" w:eastAsia="黑体" w:cs="微软雅黑"/>
          <w:sz w:val="32"/>
          <w:szCs w:val="32"/>
        </w:rPr>
        <w:t>第十五条</w:t>
      </w:r>
      <w:r>
        <w:rPr>
          <w:rFonts w:hint="eastAsia" w:ascii="仿宋_GB2312" w:hAnsi="微软雅黑" w:eastAsia="仿宋_GB2312" w:cs="微软雅黑"/>
          <w:sz w:val="32"/>
          <w:szCs w:val="32"/>
        </w:rPr>
        <w:t xml:space="preserve">  有偿转让国有资产，应当采取拍卖、招投标等公开方式进行，不适用或者不便于以公开方式进行的，经批准可采取协议或者以国家法律法规规定的其他方式进行。</w:t>
      </w:r>
    </w:p>
    <w:p>
      <w:pPr>
        <w:spacing w:line="560" w:lineRule="exact"/>
        <w:ind w:firstLine="640" w:firstLineChars="200"/>
        <w:rPr>
          <w:rFonts w:ascii="仿宋_GB2312" w:hAnsi="微软雅黑" w:eastAsia="仿宋_GB2312" w:cs="微软雅黑"/>
          <w:sz w:val="32"/>
          <w:szCs w:val="32"/>
        </w:rPr>
      </w:pPr>
      <w:r>
        <w:rPr>
          <w:rFonts w:hint="eastAsia" w:ascii="黑体" w:hAnsi="黑体" w:eastAsia="黑体" w:cs="微软雅黑"/>
          <w:sz w:val="32"/>
          <w:szCs w:val="32"/>
        </w:rPr>
        <w:t>第十六条</w:t>
      </w:r>
      <w:r>
        <w:rPr>
          <w:rFonts w:hint="eastAsia" w:ascii="仿宋_GB2312" w:hAnsi="微软雅黑" w:eastAsia="仿宋_GB2312" w:cs="微软雅黑"/>
          <w:sz w:val="32"/>
          <w:szCs w:val="32"/>
        </w:rPr>
        <w:t xml:space="preserve">  区级单位应当按照区国有资产管理领导小组、财政局或者主管部门批准的资产处置方式处置国有资产。如需变更处置方式，应按原审批渠道重新报批后实施。</w:t>
      </w:r>
    </w:p>
    <w:p>
      <w:pPr>
        <w:spacing w:line="560" w:lineRule="exact"/>
        <w:ind w:firstLine="640" w:firstLineChars="200"/>
        <w:rPr>
          <w:rFonts w:ascii="仿宋_GB2312" w:hAnsi="微软雅黑" w:eastAsia="仿宋_GB2312" w:cs="微软雅黑"/>
          <w:sz w:val="32"/>
          <w:szCs w:val="32"/>
        </w:rPr>
      </w:pPr>
      <w:r>
        <w:rPr>
          <w:rFonts w:hint="eastAsia" w:ascii="黑体" w:hAnsi="黑体" w:eastAsia="黑体" w:cs="微软雅黑"/>
          <w:sz w:val="32"/>
          <w:szCs w:val="32"/>
        </w:rPr>
        <w:t>第十七条</w:t>
      </w:r>
      <w:r>
        <w:rPr>
          <w:rFonts w:hint="eastAsia" w:ascii="仿宋_GB2312" w:hAnsi="微软雅黑" w:eastAsia="仿宋_GB2312" w:cs="微软雅黑"/>
          <w:sz w:val="32"/>
          <w:szCs w:val="32"/>
        </w:rPr>
        <w:t xml:space="preserve">  以有偿转让或者置换方式处置国有资产的、以非货币性资产抵顶债权债务的，应当委托管理规范、执业质量和社会信誉较好的社会中介机构进行资产评估。</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委托社会中介机构评估实行有偿服务，按照“谁委托谁付费”的原则管理。大宗或者大额资产以及房屋、土地使用权、股权等的评估由区财政局委托，中介服务费用由财政部门支付；其余资产由主管部门或者区级单位委托中介机构评估并支付服务费用。</w:t>
      </w:r>
    </w:p>
    <w:p>
      <w:pPr>
        <w:spacing w:line="5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经区财政局批准处置，由主管部门或者区级单位委托中介机构评估的资产，评估结束后，应当按照国家有关规定向区财政局履行备案手续。备案需使用财政部门统一制定的备案表。</w:t>
      </w:r>
    </w:p>
    <w:p>
      <w:pPr>
        <w:spacing w:line="560" w:lineRule="exact"/>
        <w:ind w:firstLine="640" w:firstLineChars="200"/>
        <w:rPr>
          <w:rFonts w:ascii="仿宋_GB2312" w:hAnsi="微软雅黑" w:eastAsia="仿宋_GB2312" w:cs="微软雅黑"/>
          <w:sz w:val="32"/>
          <w:szCs w:val="32"/>
        </w:rPr>
      </w:pPr>
      <w:r>
        <w:rPr>
          <w:rFonts w:hint="eastAsia" w:ascii="黑体" w:hAnsi="黑体" w:eastAsia="黑体" w:cs="微软雅黑"/>
          <w:sz w:val="32"/>
          <w:szCs w:val="32"/>
        </w:rPr>
        <w:t>第十八条</w:t>
      </w:r>
      <w:r>
        <w:rPr>
          <w:rFonts w:hint="eastAsia" w:ascii="仿宋_GB2312" w:hAnsi="微软雅黑" w:eastAsia="仿宋_GB2312" w:cs="微软雅黑"/>
          <w:sz w:val="32"/>
          <w:szCs w:val="32"/>
        </w:rPr>
        <w:t xml:space="preserve">  资产评估结果是处置资产作价的依据。意向转让价格（包括拍卖保留价）低于评估结果的90%或者上一次批准处置价格的90%，须按原渠道报经原审批部门重新批准，未经重新批准，不得擅自降低资产处置价格。</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转让所持上市公司股份，应当符合国家相关管理制度规定。</w:t>
      </w:r>
    </w:p>
    <w:p>
      <w:pPr>
        <w:spacing w:line="560" w:lineRule="exact"/>
        <w:ind w:firstLine="640" w:firstLineChars="200"/>
        <w:rPr>
          <w:rFonts w:ascii="仿宋_GB2312" w:hAnsi="微软雅黑" w:eastAsia="仿宋_GB2312" w:cs="微软雅黑"/>
          <w:sz w:val="32"/>
          <w:szCs w:val="32"/>
        </w:rPr>
      </w:pPr>
      <w:r>
        <w:rPr>
          <w:rFonts w:hint="eastAsia" w:ascii="黑体" w:hAnsi="黑体" w:eastAsia="黑体" w:cs="微软雅黑"/>
          <w:sz w:val="32"/>
          <w:szCs w:val="32"/>
        </w:rPr>
        <w:t>第十九条</w:t>
      </w:r>
      <w:r>
        <w:rPr>
          <w:rFonts w:hint="eastAsia" w:ascii="仿宋_GB2312" w:hAnsi="微软雅黑" w:eastAsia="仿宋_GB2312" w:cs="微软雅黑"/>
          <w:sz w:val="32"/>
          <w:szCs w:val="32"/>
        </w:rPr>
        <w:t xml:space="preserve">  依据政府或者有关部门的批准文件，因单位撤销、合并、分立、隶属关系改变等原因进行国有资产整体处置的，主管部门应负责组织资产清查并委托中介机构进行财务审计。在形成资产清查结果和财务审计报告的基础上，向区财政局提出资产处置申请。</w:t>
      </w:r>
    </w:p>
    <w:p>
      <w:pPr>
        <w:spacing w:line="560" w:lineRule="exact"/>
        <w:ind w:firstLine="640" w:firstLineChars="200"/>
        <w:rPr>
          <w:rFonts w:ascii="仿宋_GB2312" w:hAnsi="微软雅黑" w:eastAsia="仿宋_GB2312" w:cs="微软雅黑"/>
          <w:sz w:val="32"/>
          <w:szCs w:val="32"/>
        </w:rPr>
      </w:pPr>
      <w:r>
        <w:rPr>
          <w:rFonts w:hint="eastAsia" w:ascii="黑体" w:hAnsi="黑体" w:eastAsia="黑体" w:cs="微软雅黑"/>
          <w:sz w:val="32"/>
          <w:szCs w:val="32"/>
        </w:rPr>
        <w:t>第二十条</w:t>
      </w:r>
      <w:r>
        <w:rPr>
          <w:rFonts w:hint="eastAsia" w:ascii="仿宋_GB2312" w:hAnsi="微软雅黑" w:eastAsia="仿宋_GB2312" w:cs="微软雅黑"/>
          <w:sz w:val="32"/>
          <w:szCs w:val="32"/>
        </w:rPr>
        <w:t xml:space="preserve">  依据政府或者有关部门的批准文件，因单位改制进行国有资产整体处置的，主管部门应负责组织资产清查。在资产清查的基础上，由区财政局组织办理财务审计、资产评估、核定国家资本金等事项。涉及资产损失认定、核销的，由主管部门履行报批手续。</w:t>
      </w:r>
    </w:p>
    <w:p>
      <w:pPr>
        <w:spacing w:line="560" w:lineRule="exact"/>
        <w:ind w:firstLine="640" w:firstLineChars="200"/>
        <w:rPr>
          <w:rFonts w:ascii="仿宋_GB2312" w:hAnsi="微软雅黑" w:eastAsia="仿宋_GB2312" w:cs="微软雅黑"/>
          <w:sz w:val="32"/>
          <w:szCs w:val="32"/>
        </w:rPr>
      </w:pPr>
      <w:r>
        <w:rPr>
          <w:rFonts w:hint="eastAsia" w:ascii="黑体" w:hAnsi="黑体" w:eastAsia="黑体" w:cs="微软雅黑"/>
          <w:sz w:val="32"/>
          <w:szCs w:val="32"/>
        </w:rPr>
        <w:t>第二十一条</w:t>
      </w:r>
      <w:r>
        <w:rPr>
          <w:rFonts w:hint="eastAsia" w:ascii="仿宋_GB2312" w:hAnsi="微软雅黑" w:eastAsia="仿宋_GB2312" w:cs="微软雅黑"/>
          <w:sz w:val="32"/>
          <w:szCs w:val="32"/>
        </w:rPr>
        <w:t xml:space="preserve">  经批准报废的资产，由区级单位按国家规定渠道予以处理。</w:t>
      </w:r>
    </w:p>
    <w:p>
      <w:pPr>
        <w:spacing w:line="560" w:lineRule="exact"/>
        <w:ind w:firstLine="640" w:firstLineChars="200"/>
        <w:rPr>
          <w:rFonts w:ascii="仿宋_GB2312" w:hAnsi="微软雅黑" w:eastAsia="仿宋_GB2312" w:cs="微软雅黑"/>
          <w:sz w:val="32"/>
          <w:szCs w:val="32"/>
        </w:rPr>
      </w:pPr>
      <w:r>
        <w:rPr>
          <w:rFonts w:hint="eastAsia" w:ascii="黑体" w:hAnsi="黑体" w:eastAsia="黑体" w:cs="微软雅黑"/>
          <w:sz w:val="32"/>
          <w:szCs w:val="32"/>
        </w:rPr>
        <w:t>第二十二条</w:t>
      </w:r>
      <w:r>
        <w:rPr>
          <w:rFonts w:hint="eastAsia" w:ascii="仿宋_GB2312" w:hAnsi="微软雅黑" w:eastAsia="仿宋_GB2312" w:cs="微软雅黑"/>
          <w:sz w:val="32"/>
          <w:szCs w:val="32"/>
        </w:rPr>
        <w:t xml:space="preserve">  涉密国有资产处置，按照国家有关保密规定办理。人民防空国有战备资产处置，按照《中华人民共和国人民防空法》的规定办理。</w:t>
      </w:r>
    </w:p>
    <w:p>
      <w:pPr>
        <w:spacing w:line="560" w:lineRule="exact"/>
        <w:ind w:firstLine="640" w:firstLineChars="200"/>
        <w:rPr>
          <w:rFonts w:ascii="仿宋_GB2312" w:hAnsi="微软雅黑" w:eastAsia="仿宋_GB2312" w:cs="微软雅黑"/>
          <w:sz w:val="32"/>
          <w:szCs w:val="32"/>
        </w:rPr>
      </w:pPr>
      <w:r>
        <w:rPr>
          <w:rFonts w:hint="eastAsia" w:ascii="黑体" w:hAnsi="黑体" w:eastAsia="黑体" w:cs="微软雅黑"/>
          <w:sz w:val="32"/>
          <w:szCs w:val="32"/>
        </w:rPr>
        <w:t>第二十三条</w:t>
      </w:r>
      <w:r>
        <w:rPr>
          <w:rFonts w:hint="eastAsia" w:ascii="仿宋_GB2312" w:hAnsi="微软雅黑" w:eastAsia="仿宋_GB2312" w:cs="微软雅黑"/>
          <w:sz w:val="32"/>
          <w:szCs w:val="32"/>
        </w:rPr>
        <w:t xml:space="preserve">  经批准处置的国有资产，在资产完全移交之前，除另有规定外，原占有、使用单位对相关资产的安全完整负责。  </w:t>
      </w:r>
    </w:p>
    <w:p>
      <w:pPr>
        <w:spacing w:line="560" w:lineRule="exact"/>
        <w:ind w:firstLine="640" w:firstLineChars="200"/>
        <w:rPr>
          <w:rFonts w:ascii="黑体" w:hAnsi="微软雅黑" w:eastAsia="黑体" w:cs="微软雅黑"/>
          <w:bCs/>
          <w:sz w:val="32"/>
          <w:szCs w:val="32"/>
        </w:rPr>
      </w:pPr>
    </w:p>
    <w:p>
      <w:pPr>
        <w:spacing w:after="156" w:afterLines="50" w:line="560" w:lineRule="exact"/>
        <w:jc w:val="center"/>
        <w:rPr>
          <w:rFonts w:cs="微软雅黑" w:asciiTheme="minorEastAsia" w:hAnsiTheme="minorEastAsia"/>
          <w:bCs/>
          <w:sz w:val="32"/>
          <w:szCs w:val="32"/>
        </w:rPr>
      </w:pPr>
      <w:r>
        <w:rPr>
          <w:rFonts w:hint="eastAsia" w:cs="微软雅黑" w:asciiTheme="minorEastAsia" w:hAnsiTheme="minorEastAsia"/>
          <w:bCs/>
          <w:sz w:val="32"/>
          <w:szCs w:val="32"/>
        </w:rPr>
        <w:t>第四章　　收入管理、账务处理及产权登记</w:t>
      </w:r>
    </w:p>
    <w:p>
      <w:pPr>
        <w:spacing w:line="560" w:lineRule="exact"/>
        <w:ind w:firstLine="640" w:firstLineChars="200"/>
        <w:rPr>
          <w:rFonts w:ascii="仿宋_GB2312" w:hAnsi="微软雅黑" w:eastAsia="仿宋_GB2312" w:cs="微软雅黑"/>
          <w:sz w:val="32"/>
          <w:szCs w:val="32"/>
        </w:rPr>
      </w:pPr>
      <w:r>
        <w:rPr>
          <w:rFonts w:hint="eastAsia" w:ascii="黑体" w:hAnsi="黑体" w:eastAsia="黑体" w:cs="微软雅黑"/>
          <w:sz w:val="32"/>
          <w:szCs w:val="32"/>
        </w:rPr>
        <w:t>第二十四条</w:t>
      </w:r>
      <w:r>
        <w:rPr>
          <w:rFonts w:hint="eastAsia" w:ascii="仿宋_GB2312" w:hAnsi="微软雅黑" w:eastAsia="仿宋_GB2312" w:cs="微软雅黑"/>
          <w:sz w:val="32"/>
          <w:szCs w:val="32"/>
        </w:rPr>
        <w:t xml:space="preserve">  区级单位国有资产处置收入包括国有资产（含股权）有偿转让（含出售、出让）收入、报废报损资产残值变价收入、拆迁补偿收入、置换差价收入、保险理赔收入以及处置国有资产取得的其他收入。</w:t>
      </w:r>
    </w:p>
    <w:p>
      <w:pPr>
        <w:spacing w:line="560" w:lineRule="exact"/>
        <w:ind w:firstLine="640" w:firstLineChars="200"/>
        <w:rPr>
          <w:rFonts w:ascii="仿宋_GB2312" w:hAnsi="微软雅黑" w:eastAsia="仿宋_GB2312" w:cs="微软雅黑"/>
          <w:sz w:val="32"/>
          <w:szCs w:val="32"/>
        </w:rPr>
      </w:pPr>
      <w:r>
        <w:rPr>
          <w:rFonts w:hint="eastAsia" w:ascii="黑体" w:hAnsi="黑体" w:eastAsia="黑体" w:cs="微软雅黑"/>
          <w:sz w:val="32"/>
          <w:szCs w:val="32"/>
        </w:rPr>
        <w:t>第二十五条</w:t>
      </w:r>
      <w:r>
        <w:rPr>
          <w:rFonts w:hint="eastAsia" w:ascii="仿宋_GB2312" w:hAnsi="微软雅黑" w:eastAsia="仿宋_GB2312" w:cs="微软雅黑"/>
          <w:sz w:val="32"/>
          <w:szCs w:val="32"/>
        </w:rPr>
        <w:t xml:space="preserve">  区级单位国有资产处置收入（不含处置资产发生的评估费、拍卖佣金等直接费用）属于政府非税收入，全额上缴区级国库，纳入财政预算，实行“收支两条线”管理。</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区级单位不得隐瞒、截留、挤占、挪用、坐支或者擅自减收、免收、缓收国有资产处置收入。</w:t>
      </w:r>
    </w:p>
    <w:p>
      <w:pPr>
        <w:spacing w:line="560" w:lineRule="exact"/>
        <w:ind w:firstLine="640" w:firstLineChars="200"/>
        <w:rPr>
          <w:rFonts w:ascii="仿宋_GB2312" w:hAnsi="微软雅黑" w:eastAsia="仿宋_GB2312" w:cs="微软雅黑"/>
          <w:sz w:val="32"/>
          <w:szCs w:val="32"/>
        </w:rPr>
      </w:pPr>
      <w:r>
        <w:rPr>
          <w:rFonts w:hint="eastAsia" w:ascii="黑体" w:hAnsi="黑体" w:eastAsia="黑体" w:cs="微软雅黑"/>
          <w:sz w:val="32"/>
          <w:szCs w:val="32"/>
        </w:rPr>
        <w:t>第二十六条</w:t>
      </w:r>
      <w:r>
        <w:rPr>
          <w:rFonts w:hint="eastAsia" w:ascii="仿宋_GB2312" w:hAnsi="微软雅黑" w:eastAsia="仿宋_GB2312" w:cs="微软雅黑"/>
          <w:sz w:val="32"/>
          <w:szCs w:val="32"/>
        </w:rPr>
        <w:t xml:space="preserve">  区级单位应向区财政局申请执收项目编码，使用省财政厅统一印制的山东省财政票据，通过“山东省非税收入征收与财政票据管理系统”上缴国有资产处置收入。</w:t>
      </w:r>
    </w:p>
    <w:p>
      <w:pPr>
        <w:spacing w:line="560" w:lineRule="exact"/>
        <w:ind w:firstLine="640" w:firstLineChars="200"/>
        <w:rPr>
          <w:rFonts w:ascii="仿宋_GB2312" w:hAnsi="微软雅黑" w:eastAsia="仿宋_GB2312" w:cs="微软雅黑"/>
          <w:sz w:val="32"/>
          <w:szCs w:val="32"/>
        </w:rPr>
      </w:pPr>
      <w:r>
        <w:rPr>
          <w:rFonts w:hint="eastAsia" w:ascii="黑体" w:hAnsi="黑体" w:eastAsia="黑体" w:cs="微软雅黑"/>
          <w:sz w:val="32"/>
          <w:szCs w:val="32"/>
        </w:rPr>
        <w:t>第二十七条</w:t>
      </w:r>
      <w:r>
        <w:rPr>
          <w:rFonts w:hint="eastAsia" w:ascii="仿宋_GB2312" w:hAnsi="微软雅黑" w:eastAsia="仿宋_GB2312" w:cs="微软雅黑"/>
          <w:sz w:val="32"/>
          <w:szCs w:val="32"/>
        </w:rPr>
        <w:t xml:space="preserve">  </w:t>
      </w:r>
      <w:r>
        <w:rPr>
          <w:rFonts w:hint="eastAsia" w:ascii="仿宋_GB2312" w:hAnsi="微软雅黑" w:eastAsia="仿宋_GB2312" w:cs="微软雅黑"/>
          <w:spacing w:val="6"/>
          <w:sz w:val="32"/>
          <w:szCs w:val="32"/>
        </w:rPr>
        <w:t>区级单位在实际完成资产处置事项后，方可依据国有资产处置事项批准文件（审批表）及其他合法有效凭证，按照行政事业财务和会计制度规定处理会计账务，同时在“历下区行政事业资产管理信息系统”中减少或者增加相关资产。</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前款所称“实际完成”的含义为：</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调拨资产，指完成资产移交、办理产权、产籍变更手续并取得调入方接收凭据；</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报废资产或者报损实物资产，指完成资产变卖或者交存手续并取得变价收入或者交存凭证；</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有偿转让（含出售、出让）、置换资产，指取得转让（含出售、出让）价款、置换资产、置换资产差价并完成产权、产籍变更手续。</w:t>
      </w:r>
    </w:p>
    <w:p>
      <w:pPr>
        <w:spacing w:line="560" w:lineRule="exact"/>
        <w:ind w:firstLine="640" w:firstLineChars="200"/>
        <w:rPr>
          <w:rFonts w:ascii="仿宋_GB2312" w:hAnsi="微软雅黑" w:eastAsia="仿宋_GB2312" w:cs="微软雅黑"/>
          <w:sz w:val="32"/>
          <w:szCs w:val="32"/>
        </w:rPr>
      </w:pPr>
      <w:r>
        <w:rPr>
          <w:rFonts w:hint="eastAsia" w:ascii="黑体" w:hAnsi="黑体" w:eastAsia="黑体" w:cs="微软雅黑"/>
          <w:sz w:val="32"/>
          <w:szCs w:val="32"/>
        </w:rPr>
        <w:t>第二十八条</w:t>
      </w:r>
      <w:r>
        <w:rPr>
          <w:rFonts w:hint="eastAsia" w:ascii="仿宋_GB2312" w:hAnsi="微软雅黑" w:eastAsia="仿宋_GB2312" w:cs="微软雅黑"/>
          <w:sz w:val="32"/>
          <w:szCs w:val="32"/>
        </w:rPr>
        <w:t xml:space="preserve">  区级单位对经批准核销的货币性资产损失和对外投资损失，应当建立“账销案存”管理制度，妥善保管相关资料、凭证，并继续予以追索。</w:t>
      </w:r>
    </w:p>
    <w:p>
      <w:pPr>
        <w:spacing w:line="560" w:lineRule="exact"/>
        <w:ind w:firstLine="640" w:firstLineChars="200"/>
        <w:rPr>
          <w:rFonts w:ascii="仿宋_GB2312" w:hAnsi="微软雅黑" w:eastAsia="仿宋_GB2312" w:cs="微软雅黑"/>
          <w:sz w:val="32"/>
          <w:szCs w:val="32"/>
        </w:rPr>
      </w:pPr>
      <w:r>
        <w:rPr>
          <w:rFonts w:hint="eastAsia" w:ascii="黑体" w:hAnsi="黑体" w:eastAsia="黑体" w:cs="微软雅黑"/>
          <w:sz w:val="32"/>
          <w:szCs w:val="32"/>
        </w:rPr>
        <w:t>第二十九条</w:t>
      </w:r>
      <w:r>
        <w:rPr>
          <w:rFonts w:hint="eastAsia" w:ascii="仿宋_GB2312" w:hAnsi="微软雅黑" w:eastAsia="仿宋_GB2312" w:cs="微软雅黑"/>
          <w:sz w:val="32"/>
          <w:szCs w:val="32"/>
        </w:rPr>
        <w:t xml:space="preserve">  </w:t>
      </w:r>
      <w:r>
        <w:rPr>
          <w:rFonts w:hint="eastAsia" w:ascii="仿宋_GB2312" w:hAnsi="微软雅黑" w:eastAsia="仿宋_GB2312" w:cs="微软雅黑"/>
          <w:spacing w:val="-2"/>
          <w:sz w:val="32"/>
          <w:szCs w:val="32"/>
        </w:rPr>
        <w:t>区级单位因撤销、合并、分立、改制、隶属关系改变等原因进行整体国有资产处置的，在整体资产处置完毕30个工作日内，到区财政局办理变动产权或者注销产权登记。其他资产处置事项的产权登记事宜结合产权登记年度检查进行。</w:t>
      </w:r>
    </w:p>
    <w:p>
      <w:pPr>
        <w:spacing w:line="560" w:lineRule="exact"/>
        <w:jc w:val="center"/>
        <w:rPr>
          <w:rFonts w:ascii="黑体" w:hAnsi="微软雅黑" w:eastAsia="黑体" w:cs="微软雅黑"/>
          <w:bCs/>
          <w:sz w:val="32"/>
          <w:szCs w:val="32"/>
        </w:rPr>
      </w:pPr>
    </w:p>
    <w:p>
      <w:pPr>
        <w:spacing w:after="156" w:afterLines="50" w:line="560" w:lineRule="exact"/>
        <w:jc w:val="center"/>
        <w:rPr>
          <w:rFonts w:cs="微软雅黑" w:asciiTheme="minorEastAsia" w:hAnsiTheme="minorEastAsia"/>
          <w:bCs/>
          <w:sz w:val="32"/>
          <w:szCs w:val="32"/>
        </w:rPr>
      </w:pPr>
      <w:r>
        <w:rPr>
          <w:rFonts w:hint="eastAsia" w:cs="微软雅黑" w:asciiTheme="minorEastAsia" w:hAnsiTheme="minorEastAsia"/>
          <w:bCs/>
          <w:sz w:val="32"/>
          <w:szCs w:val="32"/>
        </w:rPr>
        <w:t>第五章　　附  则</w:t>
      </w:r>
    </w:p>
    <w:p>
      <w:pPr>
        <w:spacing w:line="560" w:lineRule="exact"/>
        <w:ind w:firstLine="640" w:firstLineChars="200"/>
        <w:rPr>
          <w:rFonts w:ascii="仿宋_GB2312" w:hAnsi="微软雅黑" w:eastAsia="仿宋_GB2312" w:cs="微软雅黑"/>
          <w:sz w:val="32"/>
          <w:szCs w:val="32"/>
        </w:rPr>
      </w:pPr>
      <w:r>
        <w:rPr>
          <w:rFonts w:hint="eastAsia" w:ascii="黑体" w:hAnsi="黑体" w:eastAsia="黑体" w:cs="微软雅黑"/>
          <w:sz w:val="32"/>
          <w:szCs w:val="32"/>
        </w:rPr>
        <w:t>第三十条</w:t>
      </w:r>
      <w:r>
        <w:rPr>
          <w:rFonts w:hint="eastAsia" w:ascii="仿宋_GB2312" w:hAnsi="微软雅黑" w:eastAsia="仿宋_GB2312" w:cs="微软雅黑"/>
          <w:sz w:val="32"/>
          <w:szCs w:val="32"/>
        </w:rPr>
        <w:t xml:space="preserve">  </w:t>
      </w:r>
      <w:r>
        <w:rPr>
          <w:rFonts w:hint="eastAsia" w:ascii="仿宋_GB2312" w:hAnsi="微软雅黑" w:eastAsia="仿宋_GB2312" w:cs="微软雅黑"/>
          <w:spacing w:val="-2"/>
          <w:sz w:val="32"/>
          <w:szCs w:val="32"/>
        </w:rPr>
        <w:t>执行《民间非盈利组织会计制度》的区级社会团体、基金会和民办非企业单位国有资产处置，参照本办法执行。</w:t>
      </w:r>
    </w:p>
    <w:p>
      <w:pPr>
        <w:spacing w:line="560" w:lineRule="exact"/>
        <w:ind w:firstLine="640" w:firstLineChars="200"/>
        <w:rPr>
          <w:rFonts w:ascii="仿宋_GB2312" w:hAnsi="微软雅黑" w:eastAsia="仿宋_GB2312" w:cs="微软雅黑"/>
          <w:sz w:val="32"/>
          <w:szCs w:val="32"/>
        </w:rPr>
      </w:pPr>
      <w:r>
        <w:rPr>
          <w:rFonts w:hint="eastAsia" w:ascii="黑体" w:hAnsi="黑体" w:eastAsia="黑体" w:cs="微软雅黑"/>
          <w:sz w:val="32"/>
          <w:szCs w:val="32"/>
        </w:rPr>
        <w:t>第三十一条</w:t>
      </w:r>
      <w:r>
        <w:rPr>
          <w:rFonts w:hint="eastAsia" w:ascii="仿宋_GB2312" w:hAnsi="微软雅黑" w:eastAsia="仿宋_GB2312" w:cs="微软雅黑"/>
          <w:sz w:val="32"/>
          <w:szCs w:val="32"/>
        </w:rPr>
        <w:t xml:space="preserve">  区级政法机关和行政执法机关罚没的非货币性资产处置、区级单位管理的国家储备（应急）资产处置，按照国家、省和市有关规定办理；国家、省和市没有规定的，依照本办法执行。</w:t>
      </w:r>
    </w:p>
    <w:p>
      <w:pPr>
        <w:spacing w:line="560" w:lineRule="exact"/>
        <w:ind w:firstLine="640" w:firstLineChars="200"/>
        <w:rPr>
          <w:rFonts w:ascii="仿宋_GB2312" w:hAnsi="微软雅黑" w:eastAsia="仿宋_GB2312" w:cs="微软雅黑"/>
          <w:sz w:val="32"/>
          <w:szCs w:val="32"/>
        </w:rPr>
      </w:pPr>
      <w:r>
        <w:rPr>
          <w:rFonts w:hint="eastAsia" w:ascii="黑体" w:hAnsi="黑体" w:eastAsia="黑体" w:cs="微软雅黑"/>
          <w:sz w:val="32"/>
          <w:szCs w:val="32"/>
        </w:rPr>
        <w:t>第三十二条</w:t>
      </w:r>
      <w:r>
        <w:rPr>
          <w:rFonts w:hint="eastAsia" w:ascii="仿宋_GB2312" w:hAnsi="微软雅黑" w:eastAsia="仿宋_GB2312" w:cs="微软雅黑"/>
          <w:sz w:val="32"/>
          <w:szCs w:val="32"/>
        </w:rPr>
        <w:t xml:space="preserve">  区级单位召开重大会议、举办大型活动等临时购建的国有资产以及临时机构的资产处置，依照本办法执行。</w:t>
      </w:r>
    </w:p>
    <w:p>
      <w:pPr>
        <w:spacing w:line="560" w:lineRule="exact"/>
        <w:ind w:firstLine="640" w:firstLineChars="200"/>
        <w:rPr>
          <w:rFonts w:ascii="仿宋_GB2312" w:hAnsi="微软雅黑" w:eastAsia="仿宋_GB2312" w:cs="微软雅黑"/>
          <w:sz w:val="32"/>
          <w:szCs w:val="32"/>
        </w:rPr>
      </w:pPr>
      <w:r>
        <w:rPr>
          <w:rFonts w:hint="eastAsia" w:ascii="黑体" w:hAnsi="黑体" w:eastAsia="黑体" w:cs="微软雅黑"/>
          <w:sz w:val="32"/>
          <w:szCs w:val="32"/>
        </w:rPr>
        <w:t>第三十三条</w:t>
      </w:r>
      <w:r>
        <w:rPr>
          <w:rFonts w:hint="eastAsia" w:ascii="仿宋_GB2312" w:hAnsi="微软雅黑" w:eastAsia="仿宋_GB2312" w:cs="微软雅黑"/>
          <w:sz w:val="32"/>
          <w:szCs w:val="32"/>
        </w:rPr>
        <w:t>　执行企业财务会计规范的区级单位处置国有资产，由区财政局按企业国有资产监督管理的有关规定实施监督管理。</w:t>
      </w:r>
    </w:p>
    <w:p>
      <w:pPr>
        <w:spacing w:line="560" w:lineRule="exact"/>
        <w:ind w:firstLine="640" w:firstLineChars="200"/>
        <w:rPr>
          <w:rFonts w:ascii="仿宋_GB2312" w:hAnsi="微软雅黑" w:eastAsia="仿宋_GB2312" w:cs="微软雅黑"/>
          <w:sz w:val="32"/>
          <w:szCs w:val="32"/>
        </w:rPr>
      </w:pPr>
      <w:r>
        <w:rPr>
          <w:rFonts w:hint="eastAsia" w:ascii="黑体" w:hAnsi="黑体" w:eastAsia="黑体" w:cs="微软雅黑"/>
          <w:sz w:val="32"/>
          <w:szCs w:val="32"/>
        </w:rPr>
        <w:t>第三十四条</w:t>
      </w:r>
      <w:r>
        <w:rPr>
          <w:rFonts w:hint="eastAsia" w:ascii="仿宋_GB2312" w:hAnsi="微软雅黑" w:eastAsia="仿宋_GB2312" w:cs="微软雅黑"/>
          <w:sz w:val="32"/>
          <w:szCs w:val="32"/>
        </w:rPr>
        <w:t xml:space="preserve">  违反本办法规定的，依据《财政违法行为处罚处分条例》（国务院令第427号）和《山东省财政监督条例》等相关法规予以处理。构成犯罪的，移送司法机关依法追究刑事责任。</w:t>
      </w:r>
    </w:p>
    <w:p>
      <w:pPr>
        <w:spacing w:line="560" w:lineRule="exact"/>
        <w:ind w:firstLine="640" w:firstLineChars="200"/>
        <w:rPr>
          <w:rFonts w:ascii="仿宋_GB2312" w:hAnsi="微软雅黑" w:eastAsia="仿宋_GB2312" w:cs="微软雅黑"/>
          <w:sz w:val="32"/>
          <w:szCs w:val="32"/>
        </w:rPr>
      </w:pPr>
      <w:r>
        <w:rPr>
          <w:rFonts w:hint="eastAsia" w:ascii="黑体" w:hAnsi="黑体" w:eastAsia="黑体" w:cs="微软雅黑"/>
          <w:sz w:val="32"/>
          <w:szCs w:val="32"/>
        </w:rPr>
        <w:t>第三十五条</w:t>
      </w:r>
      <w:r>
        <w:rPr>
          <w:rFonts w:hint="eastAsia" w:ascii="仿宋_GB2312" w:hAnsi="微软雅黑" w:eastAsia="仿宋_GB2312" w:cs="微软雅黑"/>
          <w:sz w:val="32"/>
          <w:szCs w:val="32"/>
        </w:rPr>
        <w:t xml:space="preserve">  主管部门可依据本办法制定本部门的具体管理办法，报区财政局备案。</w:t>
      </w:r>
    </w:p>
    <w:p>
      <w:pPr>
        <w:spacing w:line="560" w:lineRule="exact"/>
        <w:ind w:firstLine="640" w:firstLineChars="200"/>
        <w:rPr>
          <w:rFonts w:ascii="仿宋_GB2312" w:hAnsi="微软雅黑" w:eastAsia="仿宋_GB2312" w:cs="微软雅黑"/>
          <w:sz w:val="32"/>
          <w:szCs w:val="32"/>
        </w:rPr>
      </w:pPr>
      <w:r>
        <w:rPr>
          <w:rFonts w:hint="eastAsia" w:ascii="黑体" w:hAnsi="黑体" w:eastAsia="黑体" w:cs="微软雅黑"/>
          <w:sz w:val="32"/>
          <w:szCs w:val="32"/>
        </w:rPr>
        <w:t>第三十六条</w:t>
      </w:r>
      <w:r>
        <w:rPr>
          <w:rFonts w:hint="eastAsia" w:ascii="仿宋_GB2312" w:hAnsi="微软雅黑" w:eastAsia="仿宋_GB2312" w:cs="微软雅黑"/>
          <w:sz w:val="32"/>
          <w:szCs w:val="32"/>
        </w:rPr>
        <w:t xml:space="preserve">  </w:t>
      </w:r>
      <w:r>
        <w:rPr>
          <w:rFonts w:hint="eastAsia" w:ascii="仿宋_GB2312" w:hAnsi="微软雅黑" w:eastAsia="仿宋_GB2312" w:cs="微软雅黑"/>
          <w:spacing w:val="6"/>
          <w:sz w:val="32"/>
          <w:szCs w:val="32"/>
        </w:rPr>
        <w:t>本办法自2023年3月1日起施行。</w:t>
      </w:r>
      <w:r>
        <w:rPr>
          <w:rFonts w:hint="eastAsia" w:ascii="仿宋_GB2312" w:hAnsi="微软雅黑" w:eastAsia="仿宋_GB2312" w:cs="微软雅黑"/>
          <w:sz w:val="32"/>
          <w:szCs w:val="32"/>
        </w:rPr>
        <w:t>《历下区区级行政事业国有资产处置管理办法》(历下政发</w:t>
      </w:r>
      <w:r>
        <w:rPr>
          <w:rFonts w:hint="eastAsia" w:ascii="仿宋_GB2312" w:hAnsi="Arial Unicode MS" w:eastAsia="仿宋_GB2312" w:cs="Arial Unicode MS"/>
          <w:sz w:val="32"/>
          <w:szCs w:val="32"/>
        </w:rPr>
        <w:t>〔2018〕1号)同时废止。</w:t>
      </w:r>
    </w:p>
    <w:p>
      <w:pPr>
        <w:spacing w:line="560" w:lineRule="exact"/>
        <w:rPr>
          <w:rFonts w:ascii="仿宋_GB2312" w:hAnsi="微软雅黑" w:eastAsia="仿宋_GB2312" w:cs="微软雅黑"/>
          <w:sz w:val="32"/>
          <w:szCs w:val="32"/>
        </w:rPr>
      </w:pPr>
    </w:p>
    <w:p>
      <w:pPr>
        <w:spacing w:line="560" w:lineRule="exact"/>
        <w:ind w:firstLine="640" w:firstLineChars="200"/>
        <w:rPr>
          <w:rFonts w:ascii="仿宋_GB2312" w:hAnsi="微软雅黑" w:eastAsia="仿宋_GB2312" w:cs="微软雅黑"/>
          <w:spacing w:val="-6"/>
          <w:sz w:val="32"/>
          <w:szCs w:val="32"/>
        </w:rPr>
      </w:pPr>
      <w:r>
        <w:rPr>
          <w:rFonts w:hint="eastAsia" w:ascii="仿宋_GB2312" w:hAnsi="微软雅黑" w:eastAsia="仿宋_GB2312" w:cs="微软雅黑"/>
          <w:sz w:val="32"/>
          <w:szCs w:val="32"/>
        </w:rPr>
        <w:t xml:space="preserve">附件：1. </w:t>
      </w:r>
      <w:r>
        <w:rPr>
          <w:rFonts w:hint="eastAsia" w:ascii="仿宋_GB2312" w:hAnsi="微软雅黑" w:eastAsia="仿宋_GB2312" w:cs="微软雅黑"/>
          <w:spacing w:val="-6"/>
          <w:sz w:val="32"/>
          <w:szCs w:val="32"/>
        </w:rPr>
        <w:t>历下区行政事业单位国有资产管理重大事项审议表</w:t>
      </w:r>
    </w:p>
    <w:p>
      <w:pPr>
        <w:spacing w:line="560" w:lineRule="exact"/>
        <w:ind w:firstLine="1481" w:firstLineChars="481"/>
        <w:rPr>
          <w:rFonts w:ascii="仿宋_GB2312" w:hAnsi="微软雅黑" w:eastAsia="仿宋_GB2312" w:cs="微软雅黑"/>
          <w:spacing w:val="-6"/>
          <w:sz w:val="32"/>
          <w:szCs w:val="32"/>
        </w:rPr>
      </w:pPr>
      <w:r>
        <w:rPr>
          <w:rFonts w:hint="eastAsia" w:ascii="仿宋_GB2312" w:hAnsi="微软雅黑" w:eastAsia="仿宋_GB2312" w:cs="微软雅黑"/>
          <w:spacing w:val="-6"/>
          <w:sz w:val="32"/>
          <w:szCs w:val="32"/>
        </w:rPr>
        <w:t xml:space="preserve">2. </w:t>
      </w:r>
      <w:r>
        <w:rPr>
          <w:rFonts w:hint="eastAsia" w:ascii="仿宋_GB2312" w:hAnsi="微软雅黑" w:eastAsia="仿宋_GB2312" w:cs="微软雅黑"/>
          <w:sz w:val="32"/>
          <w:szCs w:val="32"/>
        </w:rPr>
        <w:t>历下区行政事业单位国有资产处置申请表</w:t>
      </w:r>
    </w:p>
    <w:p>
      <w:pPr>
        <w:spacing w:line="560" w:lineRule="exact"/>
        <w:ind w:firstLine="1468" w:firstLineChars="459"/>
        <w:rPr>
          <w:rFonts w:ascii="仿宋_GB2312" w:hAnsi="微软雅黑" w:eastAsia="仿宋_GB2312" w:cs="微软雅黑"/>
          <w:sz w:val="32"/>
          <w:szCs w:val="32"/>
        </w:rPr>
      </w:pPr>
      <w:r>
        <w:rPr>
          <w:rFonts w:hint="eastAsia" w:ascii="仿宋_GB2312" w:hAnsi="微软雅黑" w:eastAsia="仿宋_GB2312" w:cs="微软雅黑"/>
          <w:sz w:val="32"/>
          <w:szCs w:val="32"/>
        </w:rPr>
        <w:t>3. 历下区区级行政事业国有资产处置申办资料</w:t>
      </w:r>
    </w:p>
    <w:p>
      <w:pPr>
        <w:spacing w:line="560" w:lineRule="exact"/>
        <w:ind w:firstLine="1481" w:firstLineChars="463"/>
        <w:rPr>
          <w:rFonts w:ascii="仿宋_GB2312" w:hAnsi="微软雅黑" w:eastAsia="仿宋_GB2312" w:cs="微软雅黑"/>
          <w:sz w:val="32"/>
          <w:szCs w:val="32"/>
        </w:rPr>
      </w:pPr>
      <w:r>
        <w:rPr>
          <w:rFonts w:hint="eastAsia" w:ascii="仿宋_GB2312" w:hAnsi="微软雅黑" w:eastAsia="仿宋_GB2312" w:cs="微软雅黑"/>
          <w:sz w:val="32"/>
          <w:szCs w:val="32"/>
        </w:rPr>
        <w:t>4． 历下区区级行政事业国有资产调拨审批表（式样）</w:t>
      </w:r>
    </w:p>
    <w:p>
      <w:pPr>
        <w:spacing w:line="560" w:lineRule="exact"/>
        <w:ind w:firstLine="1497" w:firstLineChars="468"/>
        <w:rPr>
          <w:rFonts w:ascii="仿宋_GB2312" w:hAnsi="微软雅黑" w:eastAsia="仿宋_GB2312" w:cs="微软雅黑"/>
          <w:sz w:val="32"/>
          <w:szCs w:val="32"/>
        </w:rPr>
      </w:pPr>
      <w:r>
        <w:rPr>
          <w:rFonts w:hint="eastAsia" w:ascii="仿宋_GB2312" w:hAnsi="微软雅黑" w:eastAsia="仿宋_GB2312" w:cs="微软雅黑"/>
          <w:sz w:val="32"/>
          <w:szCs w:val="32"/>
        </w:rPr>
        <w:t>5． 历下区区级行政事业国有资产报废审批表（式样）</w:t>
      </w:r>
    </w:p>
    <w:p>
      <w:pPr>
        <w:spacing w:line="540" w:lineRule="exact"/>
        <w:ind w:firstLine="1497" w:firstLineChars="468"/>
        <w:rPr>
          <w:rFonts w:ascii="仿宋_GB2312" w:hAnsi="微软雅黑" w:eastAsia="仿宋_GB2312" w:cs="微软雅黑"/>
          <w:sz w:val="32"/>
          <w:szCs w:val="32"/>
        </w:rPr>
      </w:pPr>
    </w:p>
    <w:p>
      <w:pPr>
        <w:spacing w:line="540" w:lineRule="exact"/>
        <w:ind w:firstLine="1497" w:firstLineChars="468"/>
        <w:rPr>
          <w:rFonts w:ascii="仿宋_GB2312" w:hAnsi="微软雅黑" w:eastAsia="仿宋_GB2312" w:cs="微软雅黑"/>
          <w:sz w:val="32"/>
          <w:szCs w:val="32"/>
        </w:rPr>
      </w:pPr>
    </w:p>
    <w:p>
      <w:pPr>
        <w:spacing w:line="540" w:lineRule="exact"/>
        <w:ind w:firstLine="1497" w:firstLineChars="468"/>
        <w:rPr>
          <w:rFonts w:ascii="仿宋_GB2312" w:hAnsi="微软雅黑" w:eastAsia="仿宋_GB2312" w:cs="微软雅黑"/>
          <w:sz w:val="32"/>
          <w:szCs w:val="32"/>
        </w:rPr>
      </w:pPr>
    </w:p>
    <w:p>
      <w:pPr>
        <w:spacing w:line="540" w:lineRule="exact"/>
        <w:ind w:firstLine="1497" w:firstLineChars="468"/>
        <w:rPr>
          <w:rFonts w:ascii="仿宋_GB2312" w:hAnsi="微软雅黑" w:eastAsia="仿宋_GB2312" w:cs="微软雅黑"/>
          <w:sz w:val="32"/>
          <w:szCs w:val="32"/>
        </w:rPr>
      </w:pPr>
    </w:p>
    <w:p>
      <w:pPr>
        <w:spacing w:line="540" w:lineRule="exact"/>
        <w:ind w:firstLine="1497" w:firstLineChars="468"/>
        <w:rPr>
          <w:rFonts w:ascii="仿宋_GB2312" w:hAnsi="微软雅黑" w:eastAsia="仿宋_GB2312" w:cs="微软雅黑"/>
          <w:sz w:val="32"/>
          <w:szCs w:val="32"/>
        </w:rPr>
      </w:pPr>
    </w:p>
    <w:p>
      <w:pPr>
        <w:spacing w:line="540" w:lineRule="exact"/>
        <w:ind w:firstLine="1497" w:firstLineChars="468"/>
        <w:rPr>
          <w:rFonts w:ascii="仿宋_GB2312" w:hAnsi="微软雅黑" w:eastAsia="仿宋_GB2312" w:cs="微软雅黑"/>
          <w:sz w:val="32"/>
          <w:szCs w:val="32"/>
        </w:rPr>
      </w:pPr>
    </w:p>
    <w:p>
      <w:pPr>
        <w:spacing w:line="540" w:lineRule="exact"/>
        <w:ind w:firstLine="1497" w:firstLineChars="468"/>
        <w:rPr>
          <w:rFonts w:ascii="仿宋_GB2312" w:hAnsi="微软雅黑" w:eastAsia="仿宋_GB2312" w:cs="微软雅黑"/>
          <w:sz w:val="32"/>
          <w:szCs w:val="32"/>
        </w:rPr>
      </w:pPr>
    </w:p>
    <w:p>
      <w:pPr>
        <w:spacing w:line="540" w:lineRule="exact"/>
        <w:ind w:firstLine="1497" w:firstLineChars="468"/>
        <w:rPr>
          <w:rFonts w:ascii="仿宋_GB2312" w:hAnsi="微软雅黑" w:eastAsia="仿宋_GB2312" w:cs="微软雅黑"/>
          <w:sz w:val="32"/>
          <w:szCs w:val="32"/>
        </w:rPr>
      </w:pPr>
    </w:p>
    <w:p>
      <w:pPr>
        <w:spacing w:line="540" w:lineRule="exact"/>
        <w:ind w:firstLine="1497" w:firstLineChars="468"/>
        <w:rPr>
          <w:rFonts w:ascii="仿宋_GB2312" w:hAnsi="微软雅黑" w:eastAsia="仿宋_GB2312" w:cs="微软雅黑"/>
          <w:sz w:val="32"/>
          <w:szCs w:val="32"/>
        </w:rPr>
      </w:pPr>
    </w:p>
    <w:p>
      <w:pPr>
        <w:spacing w:line="540" w:lineRule="exact"/>
        <w:ind w:firstLine="1497" w:firstLineChars="468"/>
        <w:rPr>
          <w:rFonts w:ascii="仿宋_GB2312" w:hAnsi="微软雅黑" w:eastAsia="仿宋_GB2312" w:cs="微软雅黑"/>
          <w:sz w:val="32"/>
          <w:szCs w:val="32"/>
        </w:rPr>
      </w:pPr>
    </w:p>
    <w:p>
      <w:pPr>
        <w:spacing w:line="540" w:lineRule="exact"/>
        <w:ind w:firstLine="1497" w:firstLineChars="468"/>
        <w:rPr>
          <w:rFonts w:ascii="仿宋_GB2312" w:hAnsi="微软雅黑" w:eastAsia="仿宋_GB2312" w:cs="微软雅黑"/>
          <w:sz w:val="32"/>
          <w:szCs w:val="32"/>
        </w:rPr>
      </w:pPr>
    </w:p>
    <w:p>
      <w:pPr>
        <w:spacing w:line="540" w:lineRule="exact"/>
        <w:ind w:firstLine="1497" w:firstLineChars="468"/>
        <w:rPr>
          <w:rFonts w:ascii="仿宋_GB2312" w:hAnsi="微软雅黑" w:eastAsia="仿宋_GB2312" w:cs="微软雅黑"/>
          <w:sz w:val="32"/>
          <w:szCs w:val="32"/>
        </w:rPr>
      </w:pPr>
    </w:p>
    <w:p>
      <w:pPr>
        <w:spacing w:line="540" w:lineRule="exact"/>
        <w:ind w:firstLine="1497" w:firstLineChars="468"/>
        <w:rPr>
          <w:rFonts w:ascii="仿宋_GB2312" w:hAnsi="微软雅黑" w:eastAsia="仿宋_GB2312" w:cs="微软雅黑"/>
          <w:sz w:val="32"/>
          <w:szCs w:val="32"/>
        </w:rPr>
      </w:pPr>
    </w:p>
    <w:p>
      <w:pPr>
        <w:spacing w:line="540" w:lineRule="exact"/>
        <w:ind w:firstLine="1497" w:firstLineChars="468"/>
        <w:rPr>
          <w:rFonts w:ascii="仿宋_GB2312" w:hAnsi="微软雅黑" w:eastAsia="仿宋_GB2312" w:cs="微软雅黑"/>
          <w:sz w:val="32"/>
          <w:szCs w:val="32"/>
        </w:rPr>
      </w:pPr>
    </w:p>
    <w:p>
      <w:pPr>
        <w:spacing w:line="540" w:lineRule="exact"/>
        <w:ind w:firstLine="1497" w:firstLineChars="468"/>
        <w:rPr>
          <w:rFonts w:ascii="仿宋_GB2312" w:hAnsi="微软雅黑" w:eastAsia="仿宋_GB2312" w:cs="微软雅黑"/>
          <w:sz w:val="32"/>
          <w:szCs w:val="32"/>
        </w:rPr>
      </w:pPr>
    </w:p>
    <w:p>
      <w:pPr>
        <w:spacing w:line="540" w:lineRule="exact"/>
        <w:ind w:firstLine="1497" w:firstLineChars="468"/>
        <w:rPr>
          <w:rFonts w:ascii="仿宋_GB2312" w:hAnsi="微软雅黑" w:eastAsia="仿宋_GB2312" w:cs="微软雅黑"/>
          <w:sz w:val="32"/>
          <w:szCs w:val="32"/>
        </w:rPr>
      </w:pPr>
    </w:p>
    <w:p>
      <w:pPr>
        <w:spacing w:after="312" w:afterLines="100" w:line="540" w:lineRule="exact"/>
        <w:rPr>
          <w:rFonts w:ascii="黑体" w:hAnsi="黑体" w:eastAsia="黑体" w:cs="微软雅黑"/>
          <w:sz w:val="32"/>
          <w:szCs w:val="32"/>
        </w:rPr>
      </w:pPr>
      <w:r>
        <w:rPr>
          <w:rFonts w:hint="eastAsia" w:ascii="黑体" w:hAnsi="黑体" w:eastAsia="黑体" w:cs="微软雅黑"/>
          <w:sz w:val="32"/>
          <w:szCs w:val="32"/>
        </w:rPr>
        <w:t>附件1</w:t>
      </w:r>
    </w:p>
    <w:p>
      <w:pPr>
        <w:spacing w:line="560" w:lineRule="exact"/>
        <w:jc w:val="center"/>
        <w:rPr>
          <w:rFonts w:ascii="方正小标宋简体" w:hAnsi="黑体" w:eastAsia="方正小标宋简体" w:cs="黑体"/>
          <w:sz w:val="44"/>
          <w:szCs w:val="44"/>
        </w:rPr>
      </w:pPr>
      <w:r>
        <w:rPr>
          <w:rFonts w:hint="eastAsia" w:ascii="方正小标宋简体" w:hAnsi="黑体" w:eastAsia="方正小标宋简体" w:cs="黑体"/>
          <w:sz w:val="44"/>
          <w:szCs w:val="44"/>
        </w:rPr>
        <w:t>历下区行政事业单位国有资产管理</w:t>
      </w:r>
    </w:p>
    <w:p>
      <w:pPr>
        <w:spacing w:after="156" w:afterLines="50" w:line="560" w:lineRule="exact"/>
        <w:jc w:val="center"/>
        <w:rPr>
          <w:rFonts w:ascii="方正小标宋简体" w:hAnsi="黑体" w:eastAsia="方正小标宋简体" w:cs="黑体"/>
          <w:sz w:val="44"/>
          <w:szCs w:val="44"/>
        </w:rPr>
      </w:pPr>
      <w:r>
        <w:rPr>
          <w:rFonts w:hint="eastAsia" w:ascii="方正小标宋简体" w:hAnsi="黑体" w:eastAsia="方正小标宋简体" w:cs="黑体"/>
          <w:sz w:val="44"/>
          <w:szCs w:val="44"/>
        </w:rPr>
        <w:t>重大事项审议表</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2645"/>
        <w:gridCol w:w="615"/>
        <w:gridCol w:w="567"/>
        <w:gridCol w:w="142"/>
        <w:gridCol w:w="3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384" w:type="dxa"/>
          </w:tcPr>
          <w:p>
            <w:pPr>
              <w:spacing w:line="560" w:lineRule="exact"/>
              <w:ind w:firstLine="120" w:firstLineChars="50"/>
              <w:rPr>
                <w:rFonts w:ascii="仿宋_GB2312" w:hAnsi="宋体" w:eastAsia="仿宋_GB2312" w:cs="宋体"/>
                <w:sz w:val="24"/>
              </w:rPr>
            </w:pPr>
            <w:r>
              <w:rPr>
                <w:rFonts w:hint="eastAsia" w:ascii="仿宋_GB2312" w:hAnsi="宋体" w:eastAsia="仿宋_GB2312" w:cs="宋体"/>
                <w:sz w:val="24"/>
              </w:rPr>
              <w:t>报告单位</w:t>
            </w:r>
          </w:p>
        </w:tc>
        <w:tc>
          <w:tcPr>
            <w:tcW w:w="2645" w:type="dxa"/>
          </w:tcPr>
          <w:p>
            <w:pPr>
              <w:spacing w:line="560" w:lineRule="exact"/>
              <w:ind w:firstLine="480" w:firstLineChars="200"/>
              <w:rPr>
                <w:rFonts w:ascii="仿宋_GB2312" w:hAnsi="宋体" w:eastAsia="仿宋_GB2312" w:cs="宋体"/>
                <w:sz w:val="24"/>
              </w:rPr>
            </w:pPr>
          </w:p>
        </w:tc>
        <w:tc>
          <w:tcPr>
            <w:tcW w:w="1182" w:type="dxa"/>
            <w:gridSpan w:val="2"/>
          </w:tcPr>
          <w:p>
            <w:pPr>
              <w:spacing w:line="560" w:lineRule="exact"/>
              <w:ind w:firstLine="120" w:firstLineChars="50"/>
              <w:rPr>
                <w:rFonts w:ascii="仿宋_GB2312" w:hAnsi="宋体" w:eastAsia="仿宋_GB2312" w:cs="宋体"/>
                <w:sz w:val="24"/>
              </w:rPr>
            </w:pPr>
            <w:r>
              <w:rPr>
                <w:rFonts w:hint="eastAsia" w:ascii="仿宋_GB2312" w:hAnsi="宋体" w:eastAsia="仿宋_GB2312" w:cs="宋体"/>
                <w:sz w:val="24"/>
              </w:rPr>
              <w:t>联系人</w:t>
            </w:r>
          </w:p>
        </w:tc>
        <w:tc>
          <w:tcPr>
            <w:tcW w:w="3402" w:type="dxa"/>
            <w:gridSpan w:val="2"/>
            <w:vAlign w:val="center"/>
          </w:tcPr>
          <w:p>
            <w:pPr>
              <w:spacing w:line="560" w:lineRule="exact"/>
              <w:ind w:firstLine="480" w:firstLineChars="200"/>
              <w:rPr>
                <w:rFonts w:ascii="仿宋_GB2312" w:hAnsi="宋体" w:eastAsia="仿宋_GB2312"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384" w:type="dxa"/>
          </w:tcPr>
          <w:p>
            <w:pPr>
              <w:spacing w:line="560" w:lineRule="exact"/>
              <w:ind w:firstLine="120" w:firstLineChars="50"/>
              <w:rPr>
                <w:rFonts w:ascii="仿宋_GB2312" w:hAnsi="宋体" w:eastAsia="仿宋_GB2312" w:cs="宋体"/>
                <w:sz w:val="24"/>
              </w:rPr>
            </w:pPr>
            <w:r>
              <w:rPr>
                <w:rFonts w:hint="eastAsia" w:ascii="仿宋_GB2312" w:hAnsi="宋体" w:eastAsia="仿宋_GB2312" w:cs="宋体"/>
                <w:sz w:val="24"/>
              </w:rPr>
              <w:t>送达日期</w:t>
            </w:r>
          </w:p>
        </w:tc>
        <w:tc>
          <w:tcPr>
            <w:tcW w:w="2645" w:type="dxa"/>
          </w:tcPr>
          <w:p>
            <w:pPr>
              <w:spacing w:line="560" w:lineRule="exact"/>
              <w:ind w:firstLine="480" w:firstLineChars="200"/>
              <w:rPr>
                <w:rFonts w:ascii="仿宋_GB2312" w:hAnsi="宋体" w:eastAsia="仿宋_GB2312" w:cs="宋体"/>
                <w:sz w:val="24"/>
              </w:rPr>
            </w:pPr>
          </w:p>
        </w:tc>
        <w:tc>
          <w:tcPr>
            <w:tcW w:w="1182" w:type="dxa"/>
            <w:gridSpan w:val="2"/>
          </w:tcPr>
          <w:p>
            <w:pPr>
              <w:spacing w:line="560" w:lineRule="exact"/>
              <w:rPr>
                <w:rFonts w:ascii="仿宋_GB2312" w:hAnsi="宋体" w:eastAsia="仿宋_GB2312" w:cs="宋体"/>
                <w:sz w:val="24"/>
              </w:rPr>
            </w:pPr>
            <w:r>
              <w:rPr>
                <w:rFonts w:hint="eastAsia" w:ascii="仿宋_GB2312" w:hAnsi="宋体" w:eastAsia="仿宋_GB2312" w:cs="宋体"/>
                <w:sz w:val="24"/>
              </w:rPr>
              <w:t>联系电话</w:t>
            </w:r>
          </w:p>
        </w:tc>
        <w:tc>
          <w:tcPr>
            <w:tcW w:w="3402" w:type="dxa"/>
            <w:gridSpan w:val="2"/>
            <w:vAlign w:val="center"/>
          </w:tcPr>
          <w:p>
            <w:pPr>
              <w:spacing w:line="560" w:lineRule="exact"/>
              <w:ind w:firstLine="480" w:firstLineChars="200"/>
              <w:rPr>
                <w:rFonts w:ascii="仿宋_GB2312" w:hAnsi="宋体" w:eastAsia="仿宋_GB2312"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0" w:hRule="exact"/>
        </w:trPr>
        <w:tc>
          <w:tcPr>
            <w:tcW w:w="1384" w:type="dxa"/>
            <w:vAlign w:val="center"/>
          </w:tcPr>
          <w:p>
            <w:pPr>
              <w:spacing w:line="400" w:lineRule="exact"/>
              <w:jc w:val="center"/>
              <w:rPr>
                <w:rFonts w:ascii="仿宋_GB2312" w:hAnsi="宋体" w:eastAsia="仿宋_GB2312" w:cs="宋体"/>
                <w:sz w:val="24"/>
              </w:rPr>
            </w:pPr>
            <w:r>
              <w:rPr>
                <w:rFonts w:hint="eastAsia" w:ascii="仿宋_GB2312" w:hAnsi="宋体" w:eastAsia="仿宋_GB2312" w:cs="宋体"/>
                <w:sz w:val="24"/>
              </w:rPr>
              <w:t>单位</w:t>
            </w:r>
          </w:p>
          <w:p>
            <w:pPr>
              <w:spacing w:line="400" w:lineRule="exact"/>
              <w:jc w:val="center"/>
              <w:rPr>
                <w:rFonts w:ascii="仿宋_GB2312" w:hAnsi="宋体" w:eastAsia="仿宋_GB2312" w:cs="宋体"/>
                <w:sz w:val="24"/>
              </w:rPr>
            </w:pPr>
            <w:r>
              <w:rPr>
                <w:rFonts w:hint="eastAsia" w:ascii="仿宋_GB2312" w:hAnsi="宋体" w:eastAsia="仿宋_GB2312" w:cs="宋体"/>
                <w:sz w:val="24"/>
              </w:rPr>
              <w:t>申报</w:t>
            </w:r>
          </w:p>
          <w:p>
            <w:pPr>
              <w:spacing w:line="400" w:lineRule="exact"/>
              <w:jc w:val="center"/>
              <w:rPr>
                <w:rFonts w:ascii="仿宋_GB2312" w:hAnsi="宋体" w:eastAsia="仿宋_GB2312" w:cs="宋体"/>
                <w:sz w:val="24"/>
              </w:rPr>
            </w:pPr>
            <w:r>
              <w:rPr>
                <w:rFonts w:hint="eastAsia" w:ascii="仿宋_GB2312" w:hAnsi="宋体" w:eastAsia="仿宋_GB2312" w:cs="宋体"/>
                <w:sz w:val="24"/>
              </w:rPr>
              <w:t>内容</w:t>
            </w:r>
          </w:p>
          <w:p>
            <w:pPr>
              <w:spacing w:line="400" w:lineRule="exact"/>
              <w:ind w:firstLine="480" w:firstLineChars="200"/>
              <w:jc w:val="center"/>
              <w:rPr>
                <w:rFonts w:ascii="仿宋_GB2312" w:hAnsi="宋体" w:eastAsia="仿宋_GB2312" w:cs="宋体"/>
                <w:sz w:val="24"/>
              </w:rPr>
            </w:pPr>
          </w:p>
        </w:tc>
        <w:tc>
          <w:tcPr>
            <w:tcW w:w="7229" w:type="dxa"/>
            <w:gridSpan w:val="5"/>
          </w:tcPr>
          <w:p>
            <w:pPr>
              <w:spacing w:line="560" w:lineRule="exact"/>
              <w:ind w:firstLine="480" w:firstLineChars="200"/>
              <w:rPr>
                <w:rFonts w:ascii="仿宋_GB2312" w:hAnsi="宋体" w:eastAsia="仿宋_GB2312" w:cs="宋体"/>
                <w:sz w:val="24"/>
              </w:rPr>
            </w:pPr>
          </w:p>
          <w:p>
            <w:pPr>
              <w:spacing w:line="560" w:lineRule="exact"/>
              <w:rPr>
                <w:rFonts w:ascii="仿宋_GB2312" w:hAnsi="宋体" w:eastAsia="仿宋_GB2312" w:cs="宋体"/>
                <w:sz w:val="24"/>
              </w:rPr>
            </w:pPr>
          </w:p>
          <w:p>
            <w:pPr>
              <w:spacing w:line="560" w:lineRule="exact"/>
              <w:ind w:firstLine="480" w:firstLineChars="200"/>
              <w:rPr>
                <w:rFonts w:ascii="仿宋_GB2312" w:hAnsi="宋体" w:eastAsia="仿宋_GB2312" w:cs="宋体"/>
                <w:sz w:val="24"/>
              </w:rPr>
            </w:pPr>
          </w:p>
          <w:p>
            <w:pPr>
              <w:spacing w:line="560" w:lineRule="exact"/>
              <w:ind w:firstLine="480" w:firstLineChars="200"/>
              <w:rPr>
                <w:rFonts w:ascii="仿宋_GB2312" w:hAnsi="宋体" w:eastAsia="仿宋_GB2312" w:cs="宋体"/>
                <w:sz w:val="24"/>
              </w:rPr>
            </w:pPr>
            <w:r>
              <w:rPr>
                <w:rFonts w:hint="eastAsia" w:ascii="仿宋_GB2312" w:hAnsi="宋体" w:eastAsia="仿宋_GB2312" w:cs="宋体"/>
                <w:sz w:val="24"/>
              </w:rPr>
              <w:t>单位负责人：         经办人：         公章：</w:t>
            </w:r>
          </w:p>
          <w:p>
            <w:pPr>
              <w:spacing w:line="560" w:lineRule="exact"/>
              <w:ind w:firstLine="480" w:firstLineChars="200"/>
              <w:rPr>
                <w:rFonts w:ascii="仿宋_GB2312" w:hAnsi="宋体" w:eastAsia="仿宋_GB2312"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1" w:hRule="atLeast"/>
        </w:trPr>
        <w:tc>
          <w:tcPr>
            <w:tcW w:w="1384" w:type="dxa"/>
            <w:vAlign w:val="center"/>
          </w:tcPr>
          <w:p>
            <w:pPr>
              <w:spacing w:line="400" w:lineRule="exact"/>
              <w:ind w:firstLine="480" w:firstLineChars="200"/>
              <w:jc w:val="center"/>
              <w:rPr>
                <w:rFonts w:ascii="仿宋_GB2312" w:hAnsi="宋体" w:eastAsia="仿宋_GB2312" w:cs="宋体"/>
                <w:sz w:val="24"/>
              </w:rPr>
            </w:pPr>
          </w:p>
          <w:p>
            <w:pPr>
              <w:spacing w:line="400" w:lineRule="exact"/>
              <w:ind w:firstLine="360" w:firstLineChars="150"/>
              <w:rPr>
                <w:rFonts w:ascii="仿宋_GB2312" w:hAnsi="宋体" w:eastAsia="仿宋_GB2312" w:cs="宋体"/>
                <w:sz w:val="24"/>
              </w:rPr>
            </w:pPr>
            <w:r>
              <w:rPr>
                <w:rFonts w:hint="eastAsia" w:ascii="仿宋_GB2312" w:hAnsi="宋体" w:eastAsia="仿宋_GB2312" w:cs="宋体"/>
                <w:sz w:val="24"/>
              </w:rPr>
              <w:t>主管</w:t>
            </w:r>
          </w:p>
          <w:p>
            <w:pPr>
              <w:spacing w:line="400" w:lineRule="exact"/>
              <w:ind w:firstLine="360" w:firstLineChars="150"/>
              <w:rPr>
                <w:rFonts w:ascii="仿宋_GB2312" w:hAnsi="宋体" w:eastAsia="仿宋_GB2312" w:cs="宋体"/>
                <w:sz w:val="24"/>
              </w:rPr>
            </w:pPr>
            <w:r>
              <w:rPr>
                <w:rFonts w:hint="eastAsia" w:ascii="仿宋_GB2312" w:hAnsi="宋体" w:eastAsia="仿宋_GB2312" w:cs="宋体"/>
                <w:sz w:val="24"/>
              </w:rPr>
              <w:t>部门</w:t>
            </w:r>
          </w:p>
          <w:p>
            <w:pPr>
              <w:spacing w:line="400" w:lineRule="exact"/>
              <w:ind w:firstLine="360" w:firstLineChars="150"/>
              <w:rPr>
                <w:rFonts w:ascii="仿宋_GB2312" w:hAnsi="宋体" w:eastAsia="仿宋_GB2312" w:cs="宋体"/>
                <w:sz w:val="24"/>
              </w:rPr>
            </w:pPr>
            <w:r>
              <w:rPr>
                <w:rFonts w:hint="eastAsia" w:ascii="仿宋_GB2312" w:hAnsi="宋体" w:eastAsia="仿宋_GB2312" w:cs="宋体"/>
                <w:sz w:val="24"/>
              </w:rPr>
              <w:t>审核</w:t>
            </w:r>
          </w:p>
          <w:p>
            <w:pPr>
              <w:spacing w:line="400" w:lineRule="exact"/>
              <w:ind w:firstLine="360" w:firstLineChars="150"/>
              <w:rPr>
                <w:rFonts w:ascii="仿宋_GB2312" w:hAnsi="宋体" w:eastAsia="仿宋_GB2312" w:cs="宋体"/>
                <w:sz w:val="24"/>
              </w:rPr>
            </w:pPr>
            <w:r>
              <w:rPr>
                <w:rFonts w:hint="eastAsia" w:ascii="仿宋_GB2312" w:hAnsi="宋体" w:eastAsia="仿宋_GB2312" w:cs="宋体"/>
                <w:sz w:val="24"/>
              </w:rPr>
              <w:t>意见</w:t>
            </w:r>
          </w:p>
          <w:p>
            <w:pPr>
              <w:spacing w:line="400" w:lineRule="exact"/>
              <w:ind w:firstLine="480" w:firstLineChars="200"/>
              <w:jc w:val="center"/>
              <w:rPr>
                <w:rFonts w:ascii="仿宋_GB2312" w:hAnsi="宋体" w:eastAsia="仿宋_GB2312" w:cs="宋体"/>
                <w:sz w:val="24"/>
              </w:rPr>
            </w:pPr>
          </w:p>
        </w:tc>
        <w:tc>
          <w:tcPr>
            <w:tcW w:w="3260" w:type="dxa"/>
            <w:gridSpan w:val="2"/>
          </w:tcPr>
          <w:p>
            <w:pPr>
              <w:spacing w:line="560" w:lineRule="exact"/>
              <w:ind w:firstLine="480" w:firstLineChars="200"/>
              <w:rPr>
                <w:rFonts w:ascii="仿宋_GB2312" w:hAnsi="宋体" w:eastAsia="仿宋_GB2312" w:cs="宋体"/>
                <w:sz w:val="24"/>
              </w:rPr>
            </w:pPr>
          </w:p>
          <w:p>
            <w:pPr>
              <w:spacing w:line="560" w:lineRule="exact"/>
              <w:ind w:firstLine="480" w:firstLineChars="200"/>
              <w:rPr>
                <w:rFonts w:ascii="仿宋_GB2312" w:hAnsi="宋体" w:eastAsia="仿宋_GB2312" w:cs="宋体"/>
                <w:sz w:val="24"/>
              </w:rPr>
            </w:pPr>
          </w:p>
          <w:p>
            <w:pPr>
              <w:spacing w:line="400" w:lineRule="exact"/>
              <w:ind w:firstLine="480" w:firstLineChars="200"/>
              <w:rPr>
                <w:rFonts w:ascii="仿宋_GB2312" w:hAnsi="宋体" w:eastAsia="仿宋_GB2312" w:cs="宋体"/>
                <w:sz w:val="24"/>
              </w:rPr>
            </w:pPr>
          </w:p>
          <w:p>
            <w:pPr>
              <w:spacing w:line="400" w:lineRule="exact"/>
              <w:ind w:firstLine="480" w:firstLineChars="200"/>
              <w:rPr>
                <w:rFonts w:ascii="仿宋_GB2312" w:hAnsi="宋体" w:eastAsia="仿宋_GB2312" w:cs="宋体"/>
                <w:sz w:val="24"/>
              </w:rPr>
            </w:pPr>
          </w:p>
          <w:p>
            <w:pPr>
              <w:spacing w:line="400" w:lineRule="exact"/>
              <w:rPr>
                <w:rFonts w:ascii="仿宋_GB2312" w:hAnsi="宋体" w:eastAsia="仿宋_GB2312" w:cs="宋体"/>
                <w:sz w:val="24"/>
              </w:rPr>
            </w:pPr>
            <w:r>
              <w:rPr>
                <w:rFonts w:hint="eastAsia" w:ascii="仿宋_GB2312" w:hAnsi="宋体" w:eastAsia="仿宋_GB2312" w:cs="宋体"/>
                <w:sz w:val="24"/>
              </w:rPr>
              <w:t>单位负责人：</w:t>
            </w:r>
          </w:p>
          <w:p>
            <w:pPr>
              <w:spacing w:line="400" w:lineRule="exact"/>
              <w:rPr>
                <w:rFonts w:ascii="仿宋_GB2312" w:hAnsi="宋体" w:eastAsia="仿宋_GB2312" w:cs="宋体"/>
                <w:sz w:val="24"/>
              </w:rPr>
            </w:pPr>
            <w:r>
              <w:rPr>
                <w:rFonts w:hint="eastAsia" w:ascii="仿宋_GB2312" w:hAnsi="宋体" w:eastAsia="仿宋_GB2312" w:cs="宋体"/>
                <w:sz w:val="24"/>
              </w:rPr>
              <w:t>经办人：</w:t>
            </w:r>
          </w:p>
          <w:p>
            <w:pPr>
              <w:spacing w:line="400" w:lineRule="exact"/>
              <w:rPr>
                <w:rFonts w:ascii="仿宋_GB2312" w:hAnsi="宋体" w:eastAsia="仿宋_GB2312" w:cs="宋体"/>
                <w:sz w:val="24"/>
              </w:rPr>
            </w:pPr>
            <w:r>
              <w:rPr>
                <w:rFonts w:hint="eastAsia" w:ascii="仿宋_GB2312" w:hAnsi="宋体" w:eastAsia="仿宋_GB2312" w:cs="宋体"/>
                <w:sz w:val="24"/>
              </w:rPr>
              <w:t>公章：</w:t>
            </w:r>
          </w:p>
        </w:tc>
        <w:tc>
          <w:tcPr>
            <w:tcW w:w="709" w:type="dxa"/>
            <w:gridSpan w:val="2"/>
            <w:vAlign w:val="center"/>
          </w:tcPr>
          <w:p>
            <w:pPr>
              <w:spacing w:line="400" w:lineRule="exact"/>
              <w:ind w:firstLine="480" w:firstLineChars="200"/>
              <w:jc w:val="center"/>
              <w:rPr>
                <w:rFonts w:ascii="仿宋_GB2312" w:hAnsi="宋体" w:eastAsia="仿宋_GB2312" w:cs="宋体"/>
                <w:sz w:val="24"/>
              </w:rPr>
            </w:pPr>
          </w:p>
          <w:p>
            <w:pPr>
              <w:spacing w:line="400" w:lineRule="exact"/>
              <w:jc w:val="center"/>
              <w:rPr>
                <w:rFonts w:ascii="仿宋_GB2312" w:hAnsi="宋体" w:eastAsia="仿宋_GB2312" w:cs="宋体"/>
                <w:sz w:val="24"/>
              </w:rPr>
            </w:pPr>
            <w:r>
              <w:rPr>
                <w:rFonts w:hint="eastAsia" w:ascii="仿宋_GB2312" w:hAnsi="宋体" w:eastAsia="仿宋_GB2312" w:cs="宋体"/>
                <w:sz w:val="24"/>
              </w:rPr>
              <w:t>财政</w:t>
            </w:r>
          </w:p>
          <w:p>
            <w:pPr>
              <w:spacing w:line="400" w:lineRule="exact"/>
              <w:jc w:val="center"/>
              <w:rPr>
                <w:rFonts w:ascii="仿宋_GB2312" w:hAnsi="宋体" w:eastAsia="仿宋_GB2312" w:cs="宋体"/>
                <w:sz w:val="24"/>
              </w:rPr>
            </w:pPr>
            <w:r>
              <w:rPr>
                <w:rFonts w:hint="eastAsia" w:ascii="仿宋_GB2312" w:hAnsi="宋体" w:eastAsia="仿宋_GB2312" w:cs="宋体"/>
                <w:sz w:val="24"/>
              </w:rPr>
              <w:t>部门</w:t>
            </w:r>
          </w:p>
          <w:p>
            <w:pPr>
              <w:spacing w:line="400" w:lineRule="exact"/>
              <w:jc w:val="center"/>
              <w:rPr>
                <w:rFonts w:ascii="仿宋_GB2312" w:hAnsi="宋体" w:eastAsia="仿宋_GB2312" w:cs="宋体"/>
                <w:sz w:val="24"/>
              </w:rPr>
            </w:pPr>
            <w:r>
              <w:rPr>
                <w:rFonts w:hint="eastAsia" w:ascii="仿宋_GB2312" w:hAnsi="宋体" w:eastAsia="仿宋_GB2312" w:cs="宋体"/>
                <w:sz w:val="24"/>
              </w:rPr>
              <w:t>审核</w:t>
            </w:r>
          </w:p>
          <w:p>
            <w:pPr>
              <w:spacing w:line="400" w:lineRule="exact"/>
              <w:jc w:val="center"/>
              <w:rPr>
                <w:rFonts w:ascii="仿宋_GB2312" w:hAnsi="宋体" w:eastAsia="仿宋_GB2312" w:cs="宋体"/>
                <w:sz w:val="24"/>
              </w:rPr>
            </w:pPr>
            <w:r>
              <w:rPr>
                <w:rFonts w:hint="eastAsia" w:ascii="仿宋_GB2312" w:hAnsi="宋体" w:eastAsia="仿宋_GB2312" w:cs="宋体"/>
                <w:sz w:val="24"/>
              </w:rPr>
              <w:t>意见</w:t>
            </w:r>
          </w:p>
          <w:p>
            <w:pPr>
              <w:spacing w:line="400" w:lineRule="exact"/>
              <w:ind w:firstLine="480" w:firstLineChars="200"/>
              <w:jc w:val="center"/>
              <w:rPr>
                <w:rFonts w:ascii="仿宋_GB2312" w:hAnsi="宋体" w:eastAsia="仿宋_GB2312" w:cs="宋体"/>
                <w:sz w:val="24"/>
              </w:rPr>
            </w:pPr>
          </w:p>
        </w:tc>
        <w:tc>
          <w:tcPr>
            <w:tcW w:w="3260" w:type="dxa"/>
          </w:tcPr>
          <w:p>
            <w:pPr>
              <w:spacing w:line="400" w:lineRule="exact"/>
              <w:ind w:firstLine="480" w:firstLineChars="200"/>
              <w:rPr>
                <w:rFonts w:ascii="仿宋_GB2312" w:hAnsi="宋体" w:eastAsia="仿宋_GB2312" w:cs="宋体"/>
                <w:sz w:val="24"/>
              </w:rPr>
            </w:pPr>
            <w:r>
              <w:rPr>
                <w:rFonts w:hint="eastAsia" w:ascii="仿宋_GB2312" w:hAnsi="宋体" w:eastAsia="仿宋_GB2312" w:cs="宋体"/>
                <w:sz w:val="24"/>
              </w:rPr>
              <w:t xml:space="preserve">         </w:t>
            </w:r>
          </w:p>
          <w:p>
            <w:pPr>
              <w:spacing w:line="400" w:lineRule="exact"/>
              <w:ind w:firstLine="480" w:firstLineChars="200"/>
              <w:rPr>
                <w:rFonts w:ascii="仿宋_GB2312" w:hAnsi="宋体" w:eastAsia="仿宋_GB2312" w:cs="宋体"/>
                <w:sz w:val="24"/>
              </w:rPr>
            </w:pPr>
          </w:p>
          <w:p>
            <w:pPr>
              <w:spacing w:line="400" w:lineRule="exact"/>
              <w:ind w:firstLine="480" w:firstLineChars="200"/>
              <w:rPr>
                <w:rFonts w:ascii="仿宋_GB2312" w:hAnsi="宋体" w:eastAsia="仿宋_GB2312" w:cs="宋体"/>
                <w:sz w:val="24"/>
              </w:rPr>
            </w:pPr>
          </w:p>
          <w:p>
            <w:pPr>
              <w:spacing w:line="400" w:lineRule="exact"/>
              <w:ind w:firstLine="480" w:firstLineChars="200"/>
              <w:rPr>
                <w:rFonts w:ascii="仿宋_GB2312" w:hAnsi="宋体" w:eastAsia="仿宋_GB2312" w:cs="宋体"/>
                <w:sz w:val="24"/>
              </w:rPr>
            </w:pPr>
          </w:p>
          <w:p>
            <w:pPr>
              <w:spacing w:line="400" w:lineRule="exact"/>
              <w:ind w:firstLine="480" w:firstLineChars="200"/>
              <w:rPr>
                <w:rFonts w:ascii="仿宋_GB2312" w:hAnsi="宋体" w:eastAsia="仿宋_GB2312" w:cs="宋体"/>
                <w:sz w:val="24"/>
              </w:rPr>
            </w:pPr>
          </w:p>
          <w:p>
            <w:pPr>
              <w:spacing w:line="400" w:lineRule="exact"/>
              <w:rPr>
                <w:rFonts w:ascii="仿宋_GB2312" w:hAnsi="宋体" w:eastAsia="仿宋_GB2312" w:cs="宋体"/>
                <w:sz w:val="24"/>
              </w:rPr>
            </w:pPr>
            <w:r>
              <w:rPr>
                <w:rFonts w:hint="eastAsia" w:ascii="仿宋_GB2312" w:hAnsi="宋体" w:eastAsia="仿宋_GB2312" w:cs="宋体"/>
                <w:sz w:val="24"/>
              </w:rPr>
              <w:t>单位负责人：</w:t>
            </w:r>
          </w:p>
          <w:p>
            <w:pPr>
              <w:spacing w:line="400" w:lineRule="exact"/>
              <w:rPr>
                <w:rFonts w:ascii="仿宋_GB2312" w:hAnsi="宋体" w:eastAsia="仿宋_GB2312" w:cs="宋体"/>
                <w:sz w:val="24"/>
              </w:rPr>
            </w:pPr>
            <w:r>
              <w:rPr>
                <w:rFonts w:hint="eastAsia" w:ascii="仿宋_GB2312" w:hAnsi="宋体" w:eastAsia="仿宋_GB2312" w:cs="宋体"/>
                <w:sz w:val="24"/>
              </w:rPr>
              <w:t>经办人：</w:t>
            </w:r>
          </w:p>
          <w:p>
            <w:pPr>
              <w:spacing w:line="400" w:lineRule="exact"/>
              <w:rPr>
                <w:rFonts w:ascii="仿宋_GB2312" w:hAnsi="宋体" w:eastAsia="仿宋_GB2312" w:cs="宋体"/>
                <w:sz w:val="24"/>
              </w:rPr>
            </w:pPr>
            <w:r>
              <w:rPr>
                <w:rFonts w:hint="eastAsia" w:ascii="仿宋_GB2312" w:hAnsi="宋体" w:eastAsia="仿宋_GB2312" w:cs="宋体"/>
                <w:sz w:val="24"/>
              </w:rPr>
              <w:t>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8" w:hRule="atLeast"/>
        </w:trPr>
        <w:tc>
          <w:tcPr>
            <w:tcW w:w="1384" w:type="dxa"/>
            <w:vAlign w:val="center"/>
          </w:tcPr>
          <w:p>
            <w:pPr>
              <w:spacing w:line="400" w:lineRule="exact"/>
              <w:jc w:val="center"/>
              <w:rPr>
                <w:rFonts w:ascii="仿宋_GB2312" w:hAnsi="宋体" w:eastAsia="仿宋_GB2312" w:cs="宋体"/>
                <w:sz w:val="24"/>
              </w:rPr>
            </w:pPr>
            <w:r>
              <w:rPr>
                <w:rFonts w:hint="eastAsia" w:ascii="仿宋_GB2312" w:hAnsi="宋体" w:eastAsia="仿宋_GB2312" w:cs="宋体"/>
                <w:sz w:val="24"/>
              </w:rPr>
              <w:t>分管</w:t>
            </w:r>
          </w:p>
          <w:p>
            <w:pPr>
              <w:spacing w:line="400" w:lineRule="exact"/>
              <w:jc w:val="center"/>
              <w:rPr>
                <w:rFonts w:ascii="仿宋_GB2312" w:hAnsi="宋体" w:eastAsia="仿宋_GB2312" w:cs="宋体"/>
                <w:sz w:val="24"/>
              </w:rPr>
            </w:pPr>
            <w:r>
              <w:rPr>
                <w:rFonts w:hint="eastAsia" w:ascii="仿宋_GB2312" w:hAnsi="宋体" w:eastAsia="仿宋_GB2312" w:cs="宋体"/>
                <w:sz w:val="24"/>
              </w:rPr>
              <w:t>区长</w:t>
            </w:r>
          </w:p>
          <w:p>
            <w:pPr>
              <w:spacing w:line="400" w:lineRule="exact"/>
              <w:jc w:val="center"/>
              <w:rPr>
                <w:rFonts w:ascii="仿宋_GB2312" w:hAnsi="宋体" w:eastAsia="仿宋_GB2312" w:cs="宋体"/>
                <w:sz w:val="24"/>
              </w:rPr>
            </w:pPr>
            <w:r>
              <w:rPr>
                <w:rFonts w:hint="eastAsia" w:ascii="仿宋_GB2312" w:hAnsi="宋体" w:eastAsia="仿宋_GB2312" w:cs="宋体"/>
                <w:sz w:val="24"/>
              </w:rPr>
              <w:t>意见</w:t>
            </w:r>
          </w:p>
        </w:tc>
        <w:tc>
          <w:tcPr>
            <w:tcW w:w="7229" w:type="dxa"/>
            <w:gridSpan w:val="5"/>
          </w:tcPr>
          <w:p>
            <w:pPr>
              <w:spacing w:line="560" w:lineRule="exact"/>
              <w:ind w:firstLine="480" w:firstLineChars="200"/>
              <w:rPr>
                <w:rFonts w:ascii="仿宋_GB2312" w:hAnsi="宋体" w:eastAsia="仿宋_GB2312" w:cs="宋体"/>
                <w:sz w:val="24"/>
              </w:rPr>
            </w:pPr>
          </w:p>
          <w:p>
            <w:pPr>
              <w:spacing w:line="560" w:lineRule="exact"/>
              <w:ind w:firstLine="480" w:firstLineChars="200"/>
              <w:rPr>
                <w:rFonts w:ascii="仿宋_GB2312" w:hAnsi="宋体" w:eastAsia="仿宋_GB2312" w:cs="宋体"/>
                <w:sz w:val="24"/>
              </w:rPr>
            </w:pPr>
            <w:r>
              <w:rPr>
                <w:rFonts w:hint="eastAsia" w:ascii="仿宋_GB2312" w:hAnsi="宋体" w:eastAsia="仿宋_GB2312" w:cs="宋体"/>
                <w:sz w:val="24"/>
              </w:rPr>
              <w:t xml:space="preserve">                                       </w:t>
            </w:r>
          </w:p>
          <w:p>
            <w:pPr>
              <w:spacing w:line="560" w:lineRule="exact"/>
              <w:ind w:firstLine="480" w:firstLineChars="200"/>
              <w:rPr>
                <w:rFonts w:ascii="仿宋_GB2312" w:hAnsi="宋体" w:eastAsia="仿宋_GB2312" w:cs="宋体"/>
                <w:sz w:val="24"/>
              </w:rPr>
            </w:pPr>
            <w:r>
              <w:rPr>
                <w:rFonts w:hint="eastAsia" w:ascii="仿宋_GB2312" w:hAnsi="宋体" w:eastAsia="仿宋_GB2312" w:cs="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6" w:hRule="atLeast"/>
        </w:trPr>
        <w:tc>
          <w:tcPr>
            <w:tcW w:w="1384" w:type="dxa"/>
            <w:vAlign w:val="center"/>
          </w:tcPr>
          <w:p>
            <w:pPr>
              <w:spacing w:line="400" w:lineRule="exact"/>
              <w:jc w:val="center"/>
              <w:rPr>
                <w:rFonts w:ascii="仿宋_GB2312" w:hAnsi="宋体" w:eastAsia="仿宋_GB2312" w:cs="宋体"/>
                <w:sz w:val="24"/>
              </w:rPr>
            </w:pPr>
            <w:r>
              <w:rPr>
                <w:rFonts w:hint="eastAsia" w:ascii="仿宋_GB2312" w:hAnsi="宋体" w:eastAsia="仿宋_GB2312" w:cs="宋体"/>
                <w:sz w:val="24"/>
              </w:rPr>
              <w:t>国有资产</w:t>
            </w:r>
          </w:p>
          <w:p>
            <w:pPr>
              <w:spacing w:line="400" w:lineRule="exact"/>
              <w:jc w:val="center"/>
              <w:rPr>
                <w:rFonts w:ascii="仿宋_GB2312" w:hAnsi="宋体" w:eastAsia="仿宋_GB2312" w:cs="宋体"/>
                <w:sz w:val="24"/>
              </w:rPr>
            </w:pPr>
            <w:r>
              <w:rPr>
                <w:rFonts w:hint="eastAsia" w:ascii="仿宋_GB2312" w:hAnsi="宋体" w:eastAsia="仿宋_GB2312" w:cs="宋体"/>
                <w:sz w:val="24"/>
              </w:rPr>
              <w:t>管理领导</w:t>
            </w:r>
          </w:p>
          <w:p>
            <w:pPr>
              <w:spacing w:line="400" w:lineRule="exact"/>
              <w:jc w:val="center"/>
              <w:rPr>
                <w:rFonts w:ascii="仿宋_GB2312" w:hAnsi="宋体" w:eastAsia="仿宋_GB2312" w:cs="宋体"/>
                <w:sz w:val="24"/>
              </w:rPr>
            </w:pPr>
            <w:r>
              <w:rPr>
                <w:rFonts w:hint="eastAsia" w:ascii="仿宋_GB2312" w:hAnsi="宋体" w:eastAsia="仿宋_GB2312" w:cs="宋体"/>
                <w:sz w:val="24"/>
              </w:rPr>
              <w:t>小组意见</w:t>
            </w:r>
          </w:p>
        </w:tc>
        <w:tc>
          <w:tcPr>
            <w:tcW w:w="7229" w:type="dxa"/>
            <w:gridSpan w:val="5"/>
          </w:tcPr>
          <w:p>
            <w:pPr>
              <w:spacing w:line="560" w:lineRule="exact"/>
              <w:ind w:firstLine="480" w:firstLineChars="200"/>
              <w:rPr>
                <w:rFonts w:ascii="仿宋_GB2312" w:hAnsi="宋体" w:eastAsia="仿宋_GB2312" w:cs="宋体"/>
                <w:sz w:val="24"/>
              </w:rPr>
            </w:pPr>
          </w:p>
          <w:p>
            <w:pPr>
              <w:spacing w:line="560" w:lineRule="exact"/>
              <w:ind w:firstLine="480" w:firstLineChars="200"/>
              <w:rPr>
                <w:rFonts w:ascii="仿宋_GB2312" w:hAnsi="宋体" w:eastAsia="仿宋_GB2312" w:cs="宋体"/>
                <w:sz w:val="24"/>
              </w:rPr>
            </w:pPr>
          </w:p>
          <w:p>
            <w:pPr>
              <w:spacing w:line="560" w:lineRule="exact"/>
              <w:ind w:firstLine="4200" w:firstLineChars="1750"/>
              <w:rPr>
                <w:rFonts w:ascii="仿宋_GB2312" w:hAnsi="宋体" w:eastAsia="仿宋_GB2312" w:cs="宋体"/>
                <w:sz w:val="24"/>
              </w:rPr>
            </w:pPr>
            <w:r>
              <w:rPr>
                <w:rFonts w:hint="eastAsia" w:ascii="仿宋_GB2312" w:hAnsi="宋体" w:eastAsia="仿宋_GB2312" w:cs="宋体"/>
                <w:sz w:val="24"/>
              </w:rPr>
              <w:t>组长：</w:t>
            </w:r>
          </w:p>
        </w:tc>
      </w:tr>
    </w:tbl>
    <w:p>
      <w:pPr>
        <w:spacing w:after="312" w:afterLines="100" w:line="560" w:lineRule="exact"/>
        <w:rPr>
          <w:rFonts w:ascii="黑体" w:hAnsi="微软雅黑" w:eastAsia="黑体" w:cs="微软雅黑"/>
          <w:sz w:val="32"/>
          <w:szCs w:val="32"/>
        </w:rPr>
      </w:pPr>
      <w:r>
        <w:rPr>
          <w:rFonts w:hint="eastAsia" w:ascii="黑体" w:hAnsi="微软雅黑" w:eastAsia="黑体" w:cs="微软雅黑"/>
          <w:sz w:val="32"/>
          <w:szCs w:val="32"/>
        </w:rPr>
        <w:t>附件2</w:t>
      </w:r>
    </w:p>
    <w:p>
      <w:pPr>
        <w:spacing w:after="156" w:afterLines="50" w:line="560" w:lineRule="exact"/>
        <w:jc w:val="center"/>
        <w:rPr>
          <w:rFonts w:ascii="黑体" w:hAnsi="微软雅黑" w:eastAsia="黑体" w:cs="微软雅黑"/>
          <w:sz w:val="32"/>
          <w:szCs w:val="32"/>
        </w:rPr>
      </w:pPr>
      <w:r>
        <w:rPr>
          <w:rFonts w:hint="eastAsia" w:ascii="方正小标宋简体" w:hAnsi="黑体" w:eastAsia="方正小标宋简体" w:cs="黑体"/>
          <w:sz w:val="44"/>
          <w:szCs w:val="44"/>
        </w:rPr>
        <w:t>历下区行政事业单位国有资产处</w:t>
      </w:r>
      <w:r>
        <w:rPr>
          <w:rFonts w:hint="eastAsia" w:ascii="方正小标宋简体" w:hAnsi="宋体" w:eastAsia="方正小标宋简体" w:cs="黑体"/>
          <w:sz w:val="44"/>
          <w:szCs w:val="44"/>
        </w:rPr>
        <w:t>置</w:t>
      </w:r>
      <w:r>
        <w:rPr>
          <w:rFonts w:hint="eastAsia" w:ascii="方正小标宋简体" w:hAnsi="黑体" w:eastAsia="方正小标宋简体" w:cs="黑体"/>
          <w:sz w:val="44"/>
          <w:szCs w:val="44"/>
        </w:rPr>
        <w:t>申请表</w:t>
      </w:r>
    </w:p>
    <w:tbl>
      <w:tblPr>
        <w:tblStyle w:val="7"/>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7"/>
        <w:gridCol w:w="1985"/>
        <w:gridCol w:w="1275"/>
        <w:gridCol w:w="1701"/>
        <w:gridCol w:w="29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22" w:hRule="atLeast"/>
        </w:trPr>
        <w:tc>
          <w:tcPr>
            <w:tcW w:w="817" w:type="dxa"/>
          </w:tcPr>
          <w:p>
            <w:pPr>
              <w:spacing w:line="480" w:lineRule="exact"/>
              <w:rPr>
                <w:rFonts w:ascii="仿宋_GB2312" w:hAnsi="仿宋" w:eastAsia="仿宋_GB2312"/>
                <w:sz w:val="24"/>
              </w:rPr>
            </w:pPr>
            <w:r>
              <w:rPr>
                <w:rFonts w:hint="eastAsia" w:ascii="仿宋_GB2312" w:hAnsi="仿宋" w:eastAsia="仿宋_GB2312"/>
                <w:sz w:val="24"/>
              </w:rPr>
              <w:t>申 请 内 容</w:t>
            </w:r>
          </w:p>
          <w:p>
            <w:pPr>
              <w:spacing w:line="480" w:lineRule="exact"/>
              <w:rPr>
                <w:rFonts w:ascii="仿宋_GB2312" w:hAnsi="仿宋" w:eastAsia="仿宋_GB2312"/>
                <w:sz w:val="24"/>
              </w:rPr>
            </w:pPr>
            <w:r>
              <w:rPr>
                <w:rFonts w:hint="eastAsia" w:ascii="仿宋_GB2312" w:hAnsi="仿宋" w:eastAsia="仿宋_GB2312"/>
                <w:sz w:val="24"/>
              </w:rPr>
              <w:t>（</w:t>
            </w:r>
            <w:r>
              <w:rPr>
                <w:rFonts w:hint="eastAsia" w:ascii="仿宋_GB2312" w:hAnsi="楷体" w:eastAsia="仿宋_GB2312"/>
                <w:sz w:val="24"/>
              </w:rPr>
              <w:t>资产内容、处置原因、处置方式</w:t>
            </w:r>
            <w:r>
              <w:rPr>
                <w:rFonts w:hint="eastAsia" w:ascii="仿宋_GB2312" w:hAnsi="仿宋" w:eastAsia="仿宋_GB2312"/>
                <w:sz w:val="24"/>
              </w:rPr>
              <w:t>）</w:t>
            </w:r>
          </w:p>
        </w:tc>
        <w:tc>
          <w:tcPr>
            <w:tcW w:w="7938" w:type="dxa"/>
            <w:gridSpan w:val="4"/>
          </w:tcPr>
          <w:p>
            <w:pPr>
              <w:spacing w:line="560" w:lineRule="exact"/>
              <w:ind w:firstLine="480" w:firstLineChars="200"/>
              <w:rPr>
                <w:rFonts w:ascii="仿宋_GB2312" w:hAnsi="仿宋" w:eastAsia="仿宋_GB2312"/>
                <w:sz w:val="24"/>
              </w:rPr>
            </w:pPr>
          </w:p>
          <w:p>
            <w:pPr>
              <w:spacing w:line="560" w:lineRule="exact"/>
              <w:ind w:firstLine="480" w:firstLineChars="200"/>
              <w:rPr>
                <w:rFonts w:ascii="仿宋_GB2312" w:hAnsi="仿宋" w:eastAsia="仿宋_GB2312"/>
                <w:sz w:val="24"/>
              </w:rPr>
            </w:pPr>
          </w:p>
          <w:p>
            <w:pPr>
              <w:spacing w:line="560" w:lineRule="exact"/>
              <w:ind w:firstLine="480" w:firstLineChars="200"/>
              <w:rPr>
                <w:rFonts w:ascii="仿宋_GB2312" w:hAnsi="仿宋" w:eastAsia="仿宋_GB2312"/>
                <w:sz w:val="24"/>
              </w:rPr>
            </w:pPr>
          </w:p>
          <w:p>
            <w:pPr>
              <w:spacing w:line="560" w:lineRule="exact"/>
              <w:ind w:firstLine="480" w:firstLineChars="200"/>
              <w:rPr>
                <w:rFonts w:ascii="仿宋_GB2312" w:hAnsi="仿宋" w:eastAsia="仿宋_GB2312"/>
                <w:sz w:val="24"/>
              </w:rPr>
            </w:pPr>
          </w:p>
          <w:p>
            <w:pPr>
              <w:spacing w:line="560" w:lineRule="exact"/>
              <w:ind w:firstLine="480" w:firstLineChars="200"/>
              <w:rPr>
                <w:rFonts w:ascii="仿宋_GB2312" w:hAnsi="仿宋" w:eastAsia="仿宋_GB2312"/>
                <w:sz w:val="24"/>
              </w:rPr>
            </w:pPr>
          </w:p>
          <w:p>
            <w:pPr>
              <w:spacing w:line="560" w:lineRule="exact"/>
              <w:rPr>
                <w:rFonts w:ascii="仿宋_GB2312" w:hAnsi="仿宋" w:eastAsia="仿宋_GB2312"/>
                <w:sz w:val="24"/>
              </w:rPr>
            </w:pPr>
          </w:p>
          <w:p>
            <w:pPr>
              <w:spacing w:line="560" w:lineRule="exact"/>
              <w:ind w:firstLine="5040" w:firstLineChars="2100"/>
              <w:rPr>
                <w:rFonts w:ascii="仿宋_GB2312" w:hAnsi="仿宋" w:eastAsia="仿宋_GB2312"/>
                <w:sz w:val="24"/>
              </w:rPr>
            </w:pPr>
            <w:r>
              <w:rPr>
                <w:rFonts w:hint="eastAsia" w:ascii="仿宋_GB2312" w:hAnsi="仿宋" w:eastAsia="仿宋_GB2312"/>
                <w:sz w:val="24"/>
              </w:rPr>
              <w:t>经办人：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70" w:hRule="atLeast"/>
        </w:trPr>
        <w:tc>
          <w:tcPr>
            <w:tcW w:w="2802" w:type="dxa"/>
            <w:gridSpan w:val="2"/>
          </w:tcPr>
          <w:p>
            <w:pPr>
              <w:spacing w:line="560" w:lineRule="exact"/>
              <w:rPr>
                <w:rFonts w:ascii="仿宋_GB2312" w:hAnsi="仿宋" w:eastAsia="仿宋_GB2312"/>
                <w:sz w:val="24"/>
              </w:rPr>
            </w:pPr>
            <w:r>
              <w:rPr>
                <w:rFonts w:hint="eastAsia" w:ascii="仿宋_GB2312" w:hAnsi="仿宋" w:eastAsia="仿宋_GB2312"/>
                <w:sz w:val="24"/>
              </w:rPr>
              <w:t>申请单位财务部门：</w:t>
            </w:r>
          </w:p>
          <w:p>
            <w:pPr>
              <w:spacing w:line="560" w:lineRule="exact"/>
              <w:ind w:firstLine="480" w:firstLineChars="200"/>
              <w:rPr>
                <w:rFonts w:ascii="仿宋_GB2312" w:hAnsi="仿宋" w:eastAsia="仿宋_GB2312"/>
                <w:sz w:val="24"/>
              </w:rPr>
            </w:pPr>
          </w:p>
          <w:p>
            <w:pPr>
              <w:spacing w:line="560" w:lineRule="exact"/>
              <w:ind w:firstLine="480" w:firstLineChars="200"/>
              <w:rPr>
                <w:rFonts w:ascii="仿宋_GB2312" w:hAnsi="仿宋" w:eastAsia="仿宋_GB2312"/>
                <w:sz w:val="24"/>
              </w:rPr>
            </w:pPr>
            <w:r>
              <w:rPr>
                <w:rFonts w:hint="eastAsia" w:ascii="仿宋_GB2312" w:hAnsi="仿宋" w:eastAsia="仿宋_GB2312"/>
                <w:sz w:val="24"/>
              </w:rPr>
              <w:t>（财务章）</w:t>
            </w:r>
          </w:p>
          <w:p>
            <w:pPr>
              <w:spacing w:line="560" w:lineRule="exact"/>
              <w:ind w:left="1320" w:hanging="1320" w:hangingChars="550"/>
              <w:jc w:val="left"/>
              <w:rPr>
                <w:rFonts w:ascii="仿宋_GB2312" w:hAnsi="仿宋" w:eastAsia="仿宋_GB2312"/>
                <w:sz w:val="24"/>
              </w:rPr>
            </w:pPr>
            <w:r>
              <w:rPr>
                <w:rFonts w:hint="eastAsia" w:ascii="仿宋_GB2312" w:hAnsi="仿宋" w:eastAsia="仿宋_GB2312"/>
                <w:sz w:val="24"/>
              </w:rPr>
              <w:t>负责人（签字）：             年  月  日</w:t>
            </w:r>
          </w:p>
        </w:tc>
        <w:tc>
          <w:tcPr>
            <w:tcW w:w="2976" w:type="dxa"/>
            <w:gridSpan w:val="2"/>
          </w:tcPr>
          <w:p>
            <w:pPr>
              <w:spacing w:line="560" w:lineRule="exact"/>
              <w:rPr>
                <w:rFonts w:ascii="仿宋_GB2312" w:hAnsi="仿宋" w:eastAsia="仿宋_GB2312"/>
                <w:sz w:val="24"/>
              </w:rPr>
            </w:pPr>
            <w:r>
              <w:rPr>
                <w:rFonts w:hint="eastAsia" w:ascii="仿宋_GB2312" w:hAnsi="仿宋" w:eastAsia="仿宋_GB2312"/>
                <w:sz w:val="24"/>
              </w:rPr>
              <w:t>申请单位：</w:t>
            </w:r>
          </w:p>
          <w:p>
            <w:pPr>
              <w:spacing w:line="560" w:lineRule="exact"/>
              <w:ind w:firstLine="480" w:firstLineChars="200"/>
              <w:rPr>
                <w:rFonts w:ascii="仿宋_GB2312" w:hAnsi="仿宋" w:eastAsia="仿宋_GB2312"/>
                <w:sz w:val="24"/>
              </w:rPr>
            </w:pPr>
          </w:p>
          <w:p>
            <w:pPr>
              <w:spacing w:line="560" w:lineRule="exact"/>
              <w:ind w:firstLine="480" w:firstLineChars="200"/>
              <w:rPr>
                <w:rFonts w:ascii="仿宋_GB2312" w:hAnsi="仿宋" w:eastAsia="仿宋_GB2312"/>
                <w:sz w:val="24"/>
              </w:rPr>
            </w:pPr>
            <w:r>
              <w:rPr>
                <w:rFonts w:hint="eastAsia" w:ascii="仿宋_GB2312" w:hAnsi="仿宋" w:eastAsia="仿宋_GB2312"/>
                <w:sz w:val="24"/>
              </w:rPr>
              <w:t>（公章）</w:t>
            </w:r>
          </w:p>
          <w:p>
            <w:pPr>
              <w:spacing w:line="560" w:lineRule="exact"/>
              <w:rPr>
                <w:rFonts w:ascii="仿宋_GB2312" w:hAnsi="仿宋" w:eastAsia="仿宋_GB2312"/>
                <w:sz w:val="24"/>
              </w:rPr>
            </w:pPr>
            <w:r>
              <w:rPr>
                <w:rFonts w:hint="eastAsia" w:ascii="仿宋_GB2312" w:hAnsi="仿宋" w:eastAsia="仿宋_GB2312"/>
                <w:sz w:val="24"/>
              </w:rPr>
              <w:t xml:space="preserve">负责人（签字）：              </w:t>
            </w:r>
          </w:p>
          <w:p>
            <w:pPr>
              <w:spacing w:line="560" w:lineRule="exact"/>
              <w:ind w:firstLine="1320" w:firstLineChars="550"/>
              <w:rPr>
                <w:rFonts w:ascii="仿宋_GB2312" w:hAnsi="仿宋" w:eastAsia="仿宋_GB2312"/>
                <w:sz w:val="24"/>
              </w:rPr>
            </w:pPr>
            <w:r>
              <w:rPr>
                <w:rFonts w:hint="eastAsia" w:ascii="仿宋_GB2312" w:hAnsi="仿宋" w:eastAsia="仿宋_GB2312"/>
                <w:sz w:val="24"/>
              </w:rPr>
              <w:t>年  月  日</w:t>
            </w:r>
          </w:p>
        </w:tc>
        <w:tc>
          <w:tcPr>
            <w:tcW w:w="2977" w:type="dxa"/>
          </w:tcPr>
          <w:p>
            <w:pPr>
              <w:spacing w:line="560" w:lineRule="exact"/>
              <w:rPr>
                <w:rFonts w:ascii="仿宋_GB2312" w:hAnsi="仿宋" w:eastAsia="仿宋_GB2312"/>
                <w:sz w:val="24"/>
              </w:rPr>
            </w:pPr>
            <w:r>
              <w:rPr>
                <w:rFonts w:hint="eastAsia" w:ascii="仿宋_GB2312" w:hAnsi="仿宋" w:eastAsia="仿宋_GB2312"/>
                <w:sz w:val="24"/>
              </w:rPr>
              <w:t>主管部门审核：</w:t>
            </w:r>
          </w:p>
          <w:p>
            <w:pPr>
              <w:spacing w:line="560" w:lineRule="exact"/>
              <w:ind w:firstLine="480" w:firstLineChars="200"/>
              <w:rPr>
                <w:rFonts w:ascii="仿宋_GB2312" w:hAnsi="仿宋" w:eastAsia="仿宋_GB2312"/>
                <w:sz w:val="24"/>
              </w:rPr>
            </w:pPr>
          </w:p>
          <w:p>
            <w:pPr>
              <w:spacing w:line="560" w:lineRule="exact"/>
              <w:ind w:firstLine="480" w:firstLineChars="200"/>
              <w:rPr>
                <w:rFonts w:ascii="仿宋_GB2312" w:hAnsi="仿宋" w:eastAsia="仿宋_GB2312"/>
                <w:sz w:val="24"/>
              </w:rPr>
            </w:pPr>
            <w:r>
              <w:rPr>
                <w:rFonts w:hint="eastAsia" w:ascii="仿宋_GB2312" w:hAnsi="仿宋" w:eastAsia="仿宋_GB2312"/>
                <w:sz w:val="24"/>
              </w:rPr>
              <w:t>（公章）</w:t>
            </w:r>
          </w:p>
          <w:p>
            <w:pPr>
              <w:spacing w:line="560" w:lineRule="exact"/>
              <w:rPr>
                <w:rFonts w:ascii="仿宋_GB2312" w:hAnsi="仿宋" w:eastAsia="仿宋_GB2312"/>
                <w:sz w:val="24"/>
              </w:rPr>
            </w:pPr>
            <w:r>
              <w:rPr>
                <w:rFonts w:hint="eastAsia" w:ascii="仿宋_GB2312" w:hAnsi="仿宋" w:eastAsia="仿宋_GB2312"/>
                <w:sz w:val="24"/>
              </w:rPr>
              <w:t xml:space="preserve">负责人：             </w:t>
            </w:r>
          </w:p>
          <w:p>
            <w:pPr>
              <w:spacing w:line="560" w:lineRule="exact"/>
              <w:ind w:firstLine="1560" w:firstLineChars="650"/>
              <w:rPr>
                <w:rFonts w:ascii="仿宋_GB2312" w:hAnsi="仿宋" w:eastAsia="仿宋_GB2312"/>
                <w:sz w:val="24"/>
              </w:rPr>
            </w:pPr>
            <w:r>
              <w:rPr>
                <w:rFonts w:hint="eastAsia" w:ascii="仿宋_GB2312" w:hAnsi="仿宋" w:eastAsia="仿宋_GB2312"/>
                <w:sz w:val="24"/>
              </w:rPr>
              <w:t>年  月  日</w:t>
            </w:r>
          </w:p>
          <w:p>
            <w:pPr>
              <w:spacing w:line="560" w:lineRule="exact"/>
              <w:ind w:firstLine="480" w:firstLineChars="200"/>
              <w:rPr>
                <w:rFonts w:ascii="仿宋_GB2312" w:hAnsi="仿宋"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99" w:hRule="atLeast"/>
        </w:trPr>
        <w:tc>
          <w:tcPr>
            <w:tcW w:w="4077" w:type="dxa"/>
            <w:gridSpan w:val="3"/>
          </w:tcPr>
          <w:p>
            <w:pPr>
              <w:spacing w:line="560" w:lineRule="exact"/>
              <w:rPr>
                <w:rFonts w:ascii="仿宋_GB2312" w:hAnsi="仿宋" w:eastAsia="仿宋_GB2312"/>
                <w:sz w:val="24"/>
              </w:rPr>
            </w:pPr>
            <w:r>
              <w:rPr>
                <w:rFonts w:hint="eastAsia" w:ascii="仿宋_GB2312" w:hAnsi="仿宋" w:eastAsia="仿宋_GB2312"/>
                <w:sz w:val="24"/>
              </w:rPr>
              <w:t>财政初审：</w:t>
            </w:r>
          </w:p>
          <w:p>
            <w:pPr>
              <w:spacing w:line="560" w:lineRule="exact"/>
              <w:ind w:firstLine="480" w:firstLineChars="200"/>
              <w:rPr>
                <w:rFonts w:ascii="仿宋_GB2312" w:hAnsi="仿宋" w:eastAsia="仿宋_GB2312"/>
                <w:sz w:val="24"/>
              </w:rPr>
            </w:pPr>
          </w:p>
          <w:p>
            <w:pPr>
              <w:spacing w:line="560" w:lineRule="exact"/>
              <w:ind w:firstLine="480" w:firstLineChars="200"/>
              <w:rPr>
                <w:rFonts w:ascii="仿宋_GB2312" w:hAnsi="仿宋" w:eastAsia="仿宋_GB2312"/>
                <w:sz w:val="24"/>
              </w:rPr>
            </w:pPr>
          </w:p>
          <w:p>
            <w:pPr>
              <w:spacing w:line="560" w:lineRule="exact"/>
              <w:ind w:firstLine="480" w:firstLineChars="200"/>
              <w:rPr>
                <w:rFonts w:ascii="仿宋_GB2312" w:hAnsi="仿宋" w:eastAsia="仿宋_GB2312"/>
                <w:sz w:val="24"/>
              </w:rPr>
            </w:pPr>
            <w:r>
              <w:rPr>
                <w:rFonts w:hint="eastAsia" w:ascii="仿宋_GB2312" w:hAnsi="仿宋" w:eastAsia="仿宋_GB2312"/>
                <w:sz w:val="24"/>
              </w:rPr>
              <w:t>（签字）           年  月  日</w:t>
            </w:r>
          </w:p>
        </w:tc>
        <w:tc>
          <w:tcPr>
            <w:tcW w:w="4678" w:type="dxa"/>
            <w:gridSpan w:val="2"/>
          </w:tcPr>
          <w:p>
            <w:pPr>
              <w:spacing w:line="560" w:lineRule="exact"/>
              <w:rPr>
                <w:rFonts w:ascii="仿宋_GB2312" w:hAnsi="仿宋" w:eastAsia="仿宋_GB2312"/>
                <w:sz w:val="24"/>
              </w:rPr>
            </w:pPr>
            <w:r>
              <w:rPr>
                <w:rFonts w:hint="eastAsia" w:ascii="仿宋_GB2312" w:hAnsi="仿宋" w:eastAsia="仿宋_GB2312"/>
                <w:sz w:val="24"/>
              </w:rPr>
              <w:t>分管区长审议：</w:t>
            </w:r>
          </w:p>
          <w:p>
            <w:pPr>
              <w:spacing w:line="560" w:lineRule="exact"/>
              <w:ind w:firstLine="480" w:firstLineChars="200"/>
              <w:rPr>
                <w:rFonts w:ascii="仿宋_GB2312" w:hAnsi="仿宋" w:eastAsia="仿宋_GB2312"/>
                <w:sz w:val="24"/>
              </w:rPr>
            </w:pPr>
          </w:p>
          <w:p>
            <w:pPr>
              <w:spacing w:line="560" w:lineRule="exact"/>
              <w:ind w:firstLine="480" w:firstLineChars="200"/>
              <w:rPr>
                <w:rFonts w:ascii="仿宋_GB2312" w:hAnsi="仿宋" w:eastAsia="仿宋_GB2312"/>
                <w:sz w:val="24"/>
              </w:rPr>
            </w:pPr>
          </w:p>
          <w:p>
            <w:pPr>
              <w:spacing w:line="560" w:lineRule="exact"/>
              <w:ind w:firstLine="2400" w:firstLineChars="1000"/>
              <w:rPr>
                <w:rFonts w:ascii="仿宋_GB2312" w:hAnsi="仿宋" w:eastAsia="仿宋_GB2312"/>
                <w:sz w:val="24"/>
              </w:rPr>
            </w:pPr>
            <w:r>
              <w:rPr>
                <w:rFonts w:hint="eastAsia" w:ascii="仿宋_GB2312" w:hAnsi="仿宋" w:eastAsia="仿宋_GB2312"/>
                <w:sz w:val="24"/>
              </w:rPr>
              <w:t xml:space="preserve"> 年  月  日</w:t>
            </w:r>
          </w:p>
        </w:tc>
      </w:tr>
    </w:tbl>
    <w:p>
      <w:pPr>
        <w:spacing w:line="540" w:lineRule="exact"/>
        <w:rPr>
          <w:rFonts w:ascii="仿宋_GB2312" w:hAnsi="微软雅黑" w:eastAsia="仿宋_GB2312" w:cs="微软雅黑"/>
          <w:sz w:val="32"/>
          <w:szCs w:val="32"/>
        </w:rPr>
      </w:pPr>
    </w:p>
    <w:p>
      <w:pPr>
        <w:spacing w:line="560" w:lineRule="exact"/>
        <w:ind w:left="381" w:firstLine="640" w:firstLineChars="200"/>
        <w:rPr>
          <w:rFonts w:ascii="仿宋_GB2312" w:hAnsi="微软雅黑" w:eastAsia="仿宋_GB2312" w:cs="微软雅黑"/>
          <w:sz w:val="32"/>
          <w:szCs w:val="32"/>
        </w:rPr>
        <w:sectPr>
          <w:footerReference r:id="rId3" w:type="default"/>
          <w:footerReference r:id="rId4" w:type="even"/>
          <w:pgSz w:w="11906" w:h="16838"/>
          <w:pgMar w:top="2098" w:right="1588" w:bottom="2098" w:left="1588" w:header="851" w:footer="1644" w:gutter="0"/>
          <w:pgNumType w:fmt="numberInDash"/>
          <w:cols w:space="720" w:num="1"/>
          <w:docGrid w:type="lines" w:linePitch="312" w:charSpace="0"/>
        </w:sectPr>
      </w:pPr>
    </w:p>
    <w:p>
      <w:pPr>
        <w:spacing w:line="560" w:lineRule="exact"/>
        <w:rPr>
          <w:rFonts w:ascii="黑体" w:hAnsi="微软雅黑" w:eastAsia="黑体" w:cs="微软雅黑"/>
          <w:sz w:val="32"/>
          <w:szCs w:val="32"/>
        </w:rPr>
      </w:pPr>
      <w:r>
        <w:rPr>
          <w:rFonts w:hint="eastAsia" w:ascii="黑体" w:hAnsi="微软雅黑" w:eastAsia="黑体" w:cs="微软雅黑"/>
          <w:sz w:val="32"/>
          <w:szCs w:val="32"/>
        </w:rPr>
        <w:t>附件3</w:t>
      </w:r>
    </w:p>
    <w:p>
      <w:pPr>
        <w:spacing w:before="312" w:beforeLines="100" w:line="560" w:lineRule="exact"/>
        <w:jc w:val="center"/>
        <w:rPr>
          <w:rFonts w:ascii="方正小标宋简体" w:hAnsi="宋体" w:eastAsia="方正小标宋简体" w:cs="微软雅黑"/>
          <w:sz w:val="44"/>
          <w:szCs w:val="44"/>
        </w:rPr>
      </w:pPr>
      <w:r>
        <w:rPr>
          <w:rFonts w:hint="eastAsia" w:ascii="方正小标宋简体" w:hAnsi="宋体" w:eastAsia="方正小标宋简体" w:cs="微软雅黑"/>
          <w:sz w:val="44"/>
          <w:szCs w:val="44"/>
        </w:rPr>
        <w:t>历下区区级行政事业国有资产处置申办资料</w:t>
      </w:r>
    </w:p>
    <w:p>
      <w:pPr>
        <w:spacing w:line="560" w:lineRule="exact"/>
        <w:ind w:firstLine="640" w:firstLineChars="200"/>
        <w:rPr>
          <w:rFonts w:ascii="仿宋_GB2312" w:hAnsi="微软雅黑" w:eastAsia="仿宋_GB2312" w:cs="微软雅黑"/>
          <w:sz w:val="32"/>
          <w:szCs w:val="32"/>
        </w:rPr>
      </w:pPr>
    </w:p>
    <w:p>
      <w:pPr>
        <w:spacing w:line="560" w:lineRule="exact"/>
        <w:ind w:firstLine="640" w:firstLineChars="200"/>
        <w:rPr>
          <w:rFonts w:ascii="方正小标宋简体" w:hAnsi="宋体" w:eastAsia="方正小标宋简体" w:cs="微软雅黑"/>
          <w:sz w:val="44"/>
          <w:szCs w:val="44"/>
        </w:rPr>
      </w:pPr>
      <w:r>
        <w:rPr>
          <w:rFonts w:hint="eastAsia" w:ascii="黑体" w:hAnsi="微软雅黑" w:eastAsia="黑体" w:cs="微软雅黑"/>
          <w:sz w:val="32"/>
          <w:szCs w:val="32"/>
        </w:rPr>
        <w:t>一、调拨、捐赠国有资产应提供的资料</w:t>
      </w:r>
    </w:p>
    <w:p>
      <w:pPr>
        <w:spacing w:line="560" w:lineRule="exact"/>
        <w:ind w:firstLine="640" w:firstLineChars="200"/>
        <w:rPr>
          <w:rFonts w:ascii="仿宋_GB2312" w:hAnsi="微软雅黑" w:eastAsia="仿宋_GB2312" w:cs="微软雅黑"/>
          <w:sz w:val="32"/>
          <w:szCs w:val="32"/>
        </w:rPr>
      </w:pPr>
      <w:r>
        <w:rPr>
          <w:rFonts w:hint="eastAsia" w:ascii="楷体_GB2312" w:hAnsi="微软雅黑" w:eastAsia="楷体_GB2312" w:cs="微软雅黑"/>
          <w:sz w:val="32"/>
          <w:szCs w:val="32"/>
        </w:rPr>
        <w:t>（一）区级单位之间调拨。</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1．《历下区区级行政事业国有资产调拨审批表》；</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2．调出单位调出资产的原因以及对本单位财务状况和业务活动影响情况说明；</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3．调出单位内部决议或有关部门批准的文件；</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4．房屋所有权证、土地使用权证、机动车行驶证等资产产权证明的复印件（加盖单位公章），没有取得资产产权证明的，需由当地政府或有关部门出具产权所属证明；</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5．资产处置事项审批需要的其他相关资料。</w:t>
      </w:r>
    </w:p>
    <w:p>
      <w:pPr>
        <w:spacing w:line="560" w:lineRule="exact"/>
        <w:ind w:firstLine="640" w:firstLineChars="200"/>
        <w:rPr>
          <w:rFonts w:ascii="楷体_GB2312" w:hAnsi="微软雅黑" w:eastAsia="楷体_GB2312" w:cs="微软雅黑"/>
          <w:sz w:val="32"/>
          <w:szCs w:val="32"/>
        </w:rPr>
      </w:pPr>
      <w:r>
        <w:rPr>
          <w:rFonts w:hint="eastAsia" w:ascii="楷体_GB2312" w:hAnsi="微软雅黑" w:eastAsia="楷体_GB2312" w:cs="微软雅黑"/>
          <w:sz w:val="32"/>
          <w:szCs w:val="32"/>
        </w:rPr>
        <w:t>（二）不同预算级次之间调拨、捐赠。</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1．主管部门正式公文，内容应包括调出（捐赠）单位调出（捐赠）资产的原因、对本单位财务状况和业务活动影响情况，主管部门审核意见等；</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 xml:space="preserve">2. 调出、调入单位申请报告； </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3．调出单位内部决议或有关部门批准的文件；</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4．房屋所有权证、土地使用权证、机动车行驶证等资产产权证明的复印件（加盖单位公章），没有取得资产产权证明的，需由当地政府或有关部门出具产权所属证明；</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5．资产处置事项审批需要的其他相关资料。</w:t>
      </w:r>
    </w:p>
    <w:p>
      <w:pPr>
        <w:spacing w:line="560" w:lineRule="exact"/>
        <w:ind w:firstLine="640" w:firstLineChars="200"/>
        <w:rPr>
          <w:rFonts w:ascii="黑体" w:hAnsi="微软雅黑" w:eastAsia="黑体" w:cs="微软雅黑"/>
          <w:sz w:val="32"/>
          <w:szCs w:val="32"/>
        </w:rPr>
      </w:pPr>
      <w:r>
        <w:rPr>
          <w:rFonts w:hint="eastAsia" w:ascii="黑体" w:hAnsi="微软雅黑" w:eastAsia="黑体" w:cs="微软雅黑"/>
          <w:sz w:val="32"/>
          <w:szCs w:val="32"/>
        </w:rPr>
        <w:t>二、报废国有资产应提供的资料</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 xml:space="preserve">（一）《历下区区级行政事业国有资产报废审批表》； </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 xml:space="preserve">（二）资产报废的原因及情况说明； </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（三）单位关于报废资产的内部决议；</w:t>
      </w:r>
    </w:p>
    <w:p>
      <w:pPr>
        <w:spacing w:line="560" w:lineRule="exact"/>
        <w:ind w:firstLine="640" w:firstLineChars="200"/>
        <w:rPr>
          <w:rFonts w:ascii="仿宋_GB2312" w:hAnsi="微软雅黑" w:eastAsia="仿宋_GB2312" w:cs="微软雅黑"/>
          <w:spacing w:val="6"/>
          <w:sz w:val="32"/>
          <w:szCs w:val="32"/>
        </w:rPr>
      </w:pPr>
      <w:r>
        <w:rPr>
          <w:rFonts w:hint="eastAsia" w:ascii="仿宋_GB2312" w:hAnsi="微软雅黑" w:eastAsia="仿宋_GB2312" w:cs="微软雅黑"/>
          <w:sz w:val="32"/>
          <w:szCs w:val="32"/>
        </w:rPr>
        <w:t>（四）</w:t>
      </w:r>
      <w:r>
        <w:rPr>
          <w:rFonts w:hint="eastAsia" w:ascii="仿宋_GB2312" w:hAnsi="微软雅黑" w:eastAsia="仿宋_GB2312" w:cs="微软雅黑"/>
          <w:spacing w:val="6"/>
          <w:sz w:val="32"/>
          <w:szCs w:val="32"/>
        </w:rPr>
        <w:t>报废资产的有关规定或者有效证明，如政府或者相关职能部门强制淘汰、强制报废的有关文件、证明、规定或者报废标准；有关职能机构出具的资产报废专业技术鉴定证明或者专家鉴定意见；主管部门组织的内部专业技术人员鉴定意见等；</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（五）房屋所有权证、土地使用权证、机动车行驶证等资产产权证明的复印件（加盖单位公章）；没有取得资产产权证明的，需由当地政府或有关部门出具产权所属证明；</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（六）资产处置事项审批需要的其他相关资料。</w:t>
      </w:r>
    </w:p>
    <w:p>
      <w:pPr>
        <w:spacing w:line="560" w:lineRule="exact"/>
        <w:ind w:firstLine="640" w:firstLineChars="200"/>
        <w:rPr>
          <w:rFonts w:ascii="黑体" w:hAnsi="微软雅黑" w:eastAsia="黑体" w:cs="微软雅黑"/>
          <w:sz w:val="32"/>
          <w:szCs w:val="32"/>
        </w:rPr>
      </w:pPr>
      <w:r>
        <w:rPr>
          <w:rFonts w:hint="eastAsia" w:ascii="黑体" w:hAnsi="微软雅黑" w:eastAsia="黑体" w:cs="微软雅黑"/>
          <w:sz w:val="32"/>
          <w:szCs w:val="32"/>
        </w:rPr>
        <w:t>三、股权划转应提供的资料</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（一）主管部门正式公文，内容应包括所属单位拟划转股权的形成情况、划转的原因、接受方的情况、主管部门审核意见等；</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（二）投资企业同意划转股权的股东会决议以及近期财务报表、企业法人营业执照等；</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（三）股权证等股权证明的复印件（加盖单位公章）；</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（四）资产处置事项审批需要的其他相关资料。</w:t>
      </w:r>
    </w:p>
    <w:p>
      <w:pPr>
        <w:spacing w:line="560" w:lineRule="exact"/>
        <w:ind w:firstLine="640" w:firstLineChars="200"/>
        <w:rPr>
          <w:rFonts w:ascii="仿宋_GB2312" w:hAnsi="微软雅黑" w:eastAsia="仿宋_GB2312" w:cs="微软雅黑"/>
          <w:sz w:val="32"/>
          <w:szCs w:val="32"/>
        </w:rPr>
      </w:pPr>
      <w:r>
        <w:rPr>
          <w:rFonts w:hint="eastAsia" w:ascii="黑体" w:hAnsi="微软雅黑" w:eastAsia="黑体" w:cs="微软雅黑"/>
          <w:sz w:val="32"/>
          <w:szCs w:val="32"/>
        </w:rPr>
        <w:t>四、有偿转让国有资产（股权）应提供的资料</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（一）主管部门正式公文，内容应包括所属单位拟有偿转让资产状况的说明、有偿转让的原因、拟申请转让的方式、主管部门审核意见等；</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（二）转让对外投资股权的，提供投资企业同意转让股权的股东会决议以及近期财务报表、企业法人营业执照等；</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（三）拟采取协议方式转让的，提供协议或者合同草案；</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 xml:space="preserve">（四）房屋所有权证、土地使用权证、机动车行驶证、股权证等资产产权证明的复印件（加盖单位公章）；没有取得资产产权证明的，需由当地政府或有关部门出具产权所属证明； </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（五）资产处置事项审批需要的其他相关资料。</w:t>
      </w:r>
    </w:p>
    <w:p>
      <w:pPr>
        <w:spacing w:line="560" w:lineRule="exact"/>
        <w:ind w:firstLine="640" w:firstLineChars="200"/>
        <w:rPr>
          <w:rFonts w:ascii="仿宋_GB2312" w:hAnsi="微软雅黑" w:eastAsia="仿宋_GB2312" w:cs="微软雅黑"/>
          <w:sz w:val="32"/>
          <w:szCs w:val="32"/>
        </w:rPr>
      </w:pPr>
      <w:r>
        <w:rPr>
          <w:rFonts w:hint="eastAsia" w:ascii="黑体" w:hAnsi="微软雅黑" w:eastAsia="黑体" w:cs="微软雅黑"/>
          <w:sz w:val="32"/>
          <w:szCs w:val="32"/>
        </w:rPr>
        <w:t>五、报损国有资产（实物）应提供的资料</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（一）主管部门正式公文，内容应包括所属单位资产报损的原因、保险理赔或责任方赔偿情况、对相关责任人的处理意见、主管部门审核意见等；</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二）资产报损的有效证明，如政府市政规划方案、依法收回文件、拆迁通知书、拆迁补偿协议书等；政法机关、行政执法机关判决书、没收证明，法定仲裁机构仲裁书；有关职能机构出具的证明、文件、专家鉴定意见等；</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（三）涉及保险理赔的理赔凭证；责任方赔偿或者补偿协议及赔偿或者补偿凭证；</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（四）对相关责任人的处理决定；</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（五）房屋所有权证、土地使用权证、机动车行驶证等资产产权证明的复印件（加盖单位公章）；没有取得资产产权证明的，需由当地政府或有关部门出具产权所属证明；</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（六）资产处置事项审批需要的其他相关资料。</w:t>
      </w:r>
    </w:p>
    <w:p>
      <w:pPr>
        <w:spacing w:line="560" w:lineRule="exact"/>
        <w:ind w:firstLine="640" w:firstLineChars="200"/>
        <w:rPr>
          <w:rFonts w:ascii="仿宋_GB2312" w:hAnsi="微软雅黑" w:eastAsia="仿宋_GB2312" w:cs="微软雅黑"/>
          <w:sz w:val="32"/>
          <w:szCs w:val="32"/>
        </w:rPr>
      </w:pPr>
      <w:r>
        <w:rPr>
          <w:rFonts w:hint="eastAsia" w:ascii="黑体" w:hAnsi="微软雅黑" w:eastAsia="黑体" w:cs="微软雅黑"/>
          <w:sz w:val="32"/>
          <w:szCs w:val="32"/>
        </w:rPr>
        <w:t>六、报损国有资产（非实物）应提供的资料</w:t>
      </w:r>
    </w:p>
    <w:p>
      <w:pPr>
        <w:spacing w:line="560" w:lineRule="exact"/>
        <w:ind w:firstLine="640" w:firstLineChars="200"/>
        <w:rPr>
          <w:rFonts w:ascii="楷体_GB2312" w:hAnsi="微软雅黑" w:eastAsia="楷体_GB2312" w:cs="微软雅黑"/>
          <w:sz w:val="32"/>
          <w:szCs w:val="32"/>
        </w:rPr>
      </w:pPr>
      <w:r>
        <w:rPr>
          <w:rFonts w:hint="eastAsia" w:ascii="楷体_GB2312" w:hAnsi="微软雅黑" w:eastAsia="楷体_GB2312" w:cs="微软雅黑"/>
          <w:sz w:val="32"/>
          <w:szCs w:val="32"/>
        </w:rPr>
        <w:t>（一）对外投资损失。</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1．主管部门正式公文，内容应包括所属单位该项对外投资的初始情况、投资企业近几年的经营状况、损失原因、主管部门审核意见等；</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2．投资企业依法破产或者被依法停止经营的法律文书及工商登记注销证明；</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3．投资企业清算报告；</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4．资产处置事项审批需要的其他相关资料。</w:t>
      </w:r>
    </w:p>
    <w:p>
      <w:pPr>
        <w:spacing w:line="560" w:lineRule="exact"/>
        <w:ind w:firstLine="640" w:firstLineChars="200"/>
        <w:rPr>
          <w:rFonts w:ascii="楷体_GB2312" w:hAnsi="微软雅黑" w:eastAsia="楷体_GB2312" w:cs="微软雅黑"/>
          <w:sz w:val="32"/>
          <w:szCs w:val="32"/>
        </w:rPr>
      </w:pPr>
      <w:r>
        <w:rPr>
          <w:rFonts w:hint="eastAsia" w:ascii="楷体_GB2312" w:hAnsi="微软雅黑" w:eastAsia="楷体_GB2312" w:cs="微软雅黑"/>
          <w:sz w:val="32"/>
          <w:szCs w:val="32"/>
        </w:rPr>
        <w:t>（二）货币性资产损失。</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1．</w:t>
      </w:r>
      <w:r>
        <w:rPr>
          <w:rFonts w:hint="eastAsia" w:ascii="仿宋_GB2312" w:hAnsi="微软雅黑" w:eastAsia="仿宋_GB2312" w:cs="微软雅黑"/>
          <w:spacing w:val="4"/>
          <w:sz w:val="32"/>
          <w:szCs w:val="32"/>
        </w:rPr>
        <w:t>主管部门正式公文，内容应包括所属单位货币性资产损失发生的情况说明、损失原因、追缴情况、主管部门审核意见等；</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2．债务人被依法破产、撤销、关闭的法律文书、文件、证明和工商登记注销证明及清算报告等；</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3．债务人死亡或者依法被宣告失踪、死亡的，其财产或者遗产不足清偿的法律文件；</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4．涉及诉讼的，法院判决、裁定本单位败诉，或者虽胜诉但被裁定终止执行的法律文书；</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5．被盗、被骗、被挪用等，提供公检法机关出具的确已无法追回的法律文书及对相关责任人的处理决定；</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6．资产处置事项审批需要的其他相关资料。</w:t>
      </w:r>
    </w:p>
    <w:p>
      <w:pPr>
        <w:spacing w:line="560" w:lineRule="exact"/>
        <w:ind w:firstLine="640" w:firstLineChars="200"/>
        <w:rPr>
          <w:rFonts w:ascii="楷体_GB2312" w:hAnsi="微软雅黑" w:eastAsia="楷体_GB2312" w:cs="微软雅黑"/>
          <w:sz w:val="32"/>
          <w:szCs w:val="32"/>
        </w:rPr>
      </w:pPr>
      <w:r>
        <w:rPr>
          <w:rFonts w:hint="eastAsia" w:ascii="楷体_GB2312" w:hAnsi="微软雅黑" w:eastAsia="楷体_GB2312" w:cs="微软雅黑"/>
          <w:sz w:val="32"/>
          <w:szCs w:val="32"/>
        </w:rPr>
        <w:t>（三）无形资产损失。</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1．主管部门正式公文，内容应包括所属单位取得无形资产及损失情况的说明、主管部门审核意见等；</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2．有关机构的专业技术鉴定报告；</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3．超出法律保护期限的证明文件；</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4．资产处置事项审批需要的其他相关资料。</w:t>
      </w:r>
    </w:p>
    <w:p>
      <w:pPr>
        <w:spacing w:line="560" w:lineRule="exact"/>
        <w:ind w:firstLine="640" w:firstLineChars="200"/>
        <w:rPr>
          <w:rFonts w:ascii="黑体" w:hAnsi="微软雅黑" w:eastAsia="黑体" w:cs="微软雅黑"/>
          <w:sz w:val="32"/>
          <w:szCs w:val="32"/>
        </w:rPr>
      </w:pPr>
      <w:r>
        <w:rPr>
          <w:rFonts w:hint="eastAsia" w:ascii="黑体" w:hAnsi="微软雅黑" w:eastAsia="黑体" w:cs="微软雅黑"/>
          <w:sz w:val="32"/>
          <w:szCs w:val="32"/>
        </w:rPr>
        <w:t>七、置换国有资产应提供的资料</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（一）主管部门正式公文，内容应包括所属单位置换资产的原因、双方拟置换资产的详细情况、主管部门审核意见等；</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（二）以非货币性资产抵顶债权债务的，提供债权债务协议、相关凭证、期末资产负债表和相关明细表；</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（三）当地政府承诺文件、草签的置换协议或者合同草案；</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（四）双方拟置换资产产权证明，如房屋所有权证、土地使用权证、机动车行驶证、股权证等资料的复印件（加盖单位公章）；没有取得资产产权证明的，需由当地政府或有关部门出具产权所属证明；</w:t>
      </w:r>
    </w:p>
    <w:p>
      <w:pPr>
        <w:spacing w:line="560" w:lineRule="exact"/>
        <w:ind w:firstLine="640" w:firstLineChars="200"/>
        <w:rPr>
          <w:rFonts w:ascii="仿宋_GB2312" w:hAnsi="微软雅黑" w:eastAsia="仿宋_GB2312" w:cs="微软雅黑"/>
          <w:spacing w:val="6"/>
          <w:sz w:val="32"/>
          <w:szCs w:val="32"/>
        </w:rPr>
      </w:pPr>
      <w:r>
        <w:rPr>
          <w:rFonts w:hint="eastAsia" w:ascii="仿宋_GB2312" w:hAnsi="微软雅黑" w:eastAsia="仿宋_GB2312" w:cs="微软雅黑"/>
          <w:sz w:val="32"/>
          <w:szCs w:val="32"/>
        </w:rPr>
        <w:t>（五）</w:t>
      </w:r>
      <w:r>
        <w:rPr>
          <w:rFonts w:hint="eastAsia" w:ascii="仿宋_GB2312" w:hAnsi="微软雅黑" w:eastAsia="仿宋_GB2312" w:cs="微软雅黑"/>
          <w:spacing w:val="6"/>
          <w:sz w:val="32"/>
          <w:szCs w:val="32"/>
        </w:rPr>
        <w:t>对方单位法人证书或营业执照复印件（加盖单位公章）；</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（六）资产处置事项审批需要的其他相关资料。</w:t>
      </w:r>
    </w:p>
    <w:p>
      <w:pPr>
        <w:spacing w:line="560" w:lineRule="exact"/>
        <w:ind w:firstLine="640" w:firstLineChars="200"/>
        <w:rPr>
          <w:rFonts w:ascii="黑体" w:hAnsi="微软雅黑" w:eastAsia="黑体" w:cs="微软雅黑"/>
          <w:sz w:val="32"/>
          <w:szCs w:val="32"/>
        </w:rPr>
      </w:pPr>
      <w:r>
        <w:rPr>
          <w:rFonts w:hint="eastAsia" w:ascii="黑体" w:hAnsi="微软雅黑" w:eastAsia="黑体" w:cs="微软雅黑"/>
          <w:sz w:val="32"/>
          <w:szCs w:val="32"/>
        </w:rPr>
        <w:t>八、因撤销、合并、分立、隶属关系改变等原因进行国有资产整体处置应提供的资料</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（一）主管部门正式公文，内容应包括需整体处置资产单位的基本概况、处置资产的依据、资产清查结果等内容；</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（二）政府或有关部门批准的撤销、合并、分立、隶属关系改变等文件；</w:t>
      </w:r>
    </w:p>
    <w:p>
      <w:pPr>
        <w:spacing w:line="560" w:lineRule="exact"/>
        <w:ind w:firstLine="640" w:firstLineChars="200"/>
        <w:rPr>
          <w:rFonts w:ascii="仿宋_GB2312" w:hAnsi="微软雅黑" w:eastAsia="仿宋_GB2312" w:cs="微软雅黑"/>
          <w:sz w:val="32"/>
          <w:szCs w:val="32"/>
        </w:rPr>
      </w:pPr>
      <w:r>
        <w:rPr>
          <w:rFonts w:hint="eastAsia" w:ascii="仿宋_GB2312" w:hAnsi="微软雅黑" w:eastAsia="仿宋_GB2312" w:cs="微软雅黑"/>
          <w:sz w:val="32"/>
          <w:szCs w:val="32"/>
        </w:rPr>
        <w:t>（三）财务审计报告；</w:t>
      </w:r>
    </w:p>
    <w:p>
      <w:pPr>
        <w:tabs>
          <w:tab w:val="left" w:pos="7920"/>
          <w:tab w:val="left" w:pos="8460"/>
        </w:tabs>
        <w:snapToGrid w:val="0"/>
        <w:spacing w:line="560" w:lineRule="exact"/>
        <w:ind w:firstLine="640" w:firstLineChars="200"/>
        <w:rPr>
          <w:rFonts w:ascii="仿宋_GB2312" w:eastAsia="仿宋_GB2312" w:cs="仿宋_GB2312"/>
          <w:sz w:val="28"/>
          <w:szCs w:val="28"/>
        </w:rPr>
      </w:pPr>
      <w:r>
        <w:rPr>
          <w:rFonts w:hint="eastAsia" w:ascii="仿宋_GB2312" w:hAnsi="微软雅黑" w:eastAsia="仿宋_GB2312" w:cs="微软雅黑"/>
          <w:sz w:val="32"/>
          <w:szCs w:val="32"/>
        </w:rPr>
        <w:t>（四）资产处置事项审批需要的其他相关资料。</w:t>
      </w:r>
    </w:p>
    <w:p>
      <w:pPr>
        <w:tabs>
          <w:tab w:val="left" w:pos="7920"/>
          <w:tab w:val="left" w:pos="8460"/>
        </w:tabs>
        <w:snapToGrid w:val="0"/>
        <w:spacing w:after="156" w:afterLines="50" w:line="560" w:lineRule="exact"/>
        <w:ind w:firstLine="280" w:firstLineChars="100"/>
        <w:rPr>
          <w:rFonts w:ascii="仿宋_GB2312" w:eastAsia="仿宋_GB2312" w:cs="仿宋_GB2312"/>
          <w:sz w:val="28"/>
          <w:szCs w:val="28"/>
        </w:rPr>
      </w:pPr>
    </w:p>
    <w:p>
      <w:pPr>
        <w:tabs>
          <w:tab w:val="left" w:pos="7920"/>
          <w:tab w:val="left" w:pos="8460"/>
        </w:tabs>
        <w:snapToGrid w:val="0"/>
        <w:spacing w:after="156" w:afterLines="50" w:line="560" w:lineRule="exact"/>
        <w:ind w:firstLine="280" w:firstLineChars="100"/>
        <w:rPr>
          <w:rFonts w:ascii="仿宋_GB2312" w:eastAsia="仿宋_GB2312" w:cs="仿宋_GB2312"/>
          <w:sz w:val="28"/>
          <w:szCs w:val="28"/>
        </w:rPr>
      </w:pPr>
    </w:p>
    <w:p>
      <w:pPr>
        <w:tabs>
          <w:tab w:val="left" w:pos="7920"/>
          <w:tab w:val="left" w:pos="8460"/>
        </w:tabs>
        <w:snapToGrid w:val="0"/>
        <w:spacing w:after="156" w:afterLines="50" w:line="560" w:lineRule="exact"/>
        <w:ind w:firstLine="280" w:firstLineChars="100"/>
        <w:rPr>
          <w:rFonts w:ascii="仿宋_GB2312" w:eastAsia="仿宋_GB2312" w:cs="仿宋_GB2312"/>
          <w:sz w:val="28"/>
          <w:szCs w:val="28"/>
        </w:rPr>
      </w:pPr>
    </w:p>
    <w:p>
      <w:pPr>
        <w:tabs>
          <w:tab w:val="left" w:pos="7920"/>
          <w:tab w:val="left" w:pos="8460"/>
        </w:tabs>
        <w:snapToGrid w:val="0"/>
        <w:spacing w:after="156" w:afterLines="50" w:line="560" w:lineRule="exact"/>
        <w:ind w:firstLine="280" w:firstLineChars="100"/>
        <w:rPr>
          <w:rFonts w:ascii="仿宋_GB2312" w:eastAsia="仿宋_GB2312" w:cs="仿宋_GB2312"/>
          <w:sz w:val="28"/>
          <w:szCs w:val="28"/>
        </w:rPr>
      </w:pPr>
    </w:p>
    <w:p>
      <w:pPr>
        <w:tabs>
          <w:tab w:val="left" w:pos="7920"/>
          <w:tab w:val="left" w:pos="8460"/>
        </w:tabs>
        <w:snapToGrid w:val="0"/>
        <w:spacing w:after="156" w:afterLines="50" w:line="560" w:lineRule="exact"/>
        <w:ind w:firstLine="280" w:firstLineChars="100"/>
        <w:rPr>
          <w:rFonts w:ascii="仿宋_GB2312" w:eastAsia="仿宋_GB2312" w:cs="仿宋_GB2312"/>
          <w:sz w:val="28"/>
          <w:szCs w:val="28"/>
        </w:rPr>
      </w:pPr>
    </w:p>
    <w:p>
      <w:pPr>
        <w:tabs>
          <w:tab w:val="left" w:pos="7920"/>
          <w:tab w:val="left" w:pos="8460"/>
        </w:tabs>
        <w:snapToGrid w:val="0"/>
        <w:spacing w:after="156" w:afterLines="50" w:line="560" w:lineRule="exact"/>
        <w:ind w:firstLine="280" w:firstLineChars="100"/>
        <w:rPr>
          <w:rFonts w:ascii="仿宋_GB2312" w:eastAsia="仿宋_GB2312" w:cs="仿宋_GB2312"/>
          <w:sz w:val="28"/>
          <w:szCs w:val="28"/>
        </w:rPr>
      </w:pPr>
    </w:p>
    <w:p>
      <w:pPr>
        <w:tabs>
          <w:tab w:val="left" w:pos="7920"/>
          <w:tab w:val="left" w:pos="8460"/>
        </w:tabs>
        <w:snapToGrid w:val="0"/>
        <w:spacing w:after="156" w:afterLines="50" w:line="560" w:lineRule="exact"/>
        <w:ind w:firstLine="280" w:firstLineChars="100"/>
        <w:rPr>
          <w:rFonts w:ascii="仿宋_GB2312" w:eastAsia="仿宋_GB2312" w:cs="仿宋_GB2312"/>
          <w:sz w:val="28"/>
          <w:szCs w:val="28"/>
        </w:rPr>
      </w:pPr>
    </w:p>
    <w:p>
      <w:pPr>
        <w:tabs>
          <w:tab w:val="left" w:pos="7920"/>
          <w:tab w:val="left" w:pos="8460"/>
        </w:tabs>
        <w:snapToGrid w:val="0"/>
        <w:spacing w:after="156" w:afterLines="50" w:line="560" w:lineRule="exact"/>
        <w:ind w:firstLine="280" w:firstLineChars="100"/>
        <w:rPr>
          <w:rFonts w:ascii="仿宋_GB2312" w:eastAsia="仿宋_GB2312" w:cs="仿宋_GB2312"/>
          <w:sz w:val="28"/>
          <w:szCs w:val="28"/>
        </w:rPr>
      </w:pPr>
    </w:p>
    <w:p>
      <w:pPr>
        <w:tabs>
          <w:tab w:val="left" w:pos="7920"/>
          <w:tab w:val="left" w:pos="8460"/>
        </w:tabs>
        <w:snapToGrid w:val="0"/>
        <w:spacing w:after="156" w:afterLines="50" w:line="560" w:lineRule="exact"/>
        <w:ind w:firstLine="280" w:firstLineChars="100"/>
        <w:rPr>
          <w:rFonts w:ascii="仿宋_GB2312" w:eastAsia="仿宋_GB2312" w:cs="仿宋_GB2312"/>
          <w:sz w:val="28"/>
          <w:szCs w:val="28"/>
        </w:rPr>
      </w:pPr>
    </w:p>
    <w:p>
      <w:pPr>
        <w:tabs>
          <w:tab w:val="left" w:pos="7920"/>
          <w:tab w:val="left" w:pos="8460"/>
        </w:tabs>
        <w:snapToGrid w:val="0"/>
        <w:spacing w:after="156" w:afterLines="50" w:line="560" w:lineRule="exact"/>
        <w:ind w:firstLine="280" w:firstLineChars="100"/>
        <w:rPr>
          <w:rFonts w:ascii="仿宋_GB2312" w:eastAsia="仿宋_GB2312" w:cs="仿宋_GB2312"/>
          <w:sz w:val="28"/>
          <w:szCs w:val="28"/>
        </w:rPr>
        <w:sectPr>
          <w:footerReference r:id="rId5" w:type="default"/>
          <w:footerReference r:id="rId6" w:type="even"/>
          <w:pgSz w:w="11906" w:h="16838"/>
          <w:pgMar w:top="2098" w:right="1588" w:bottom="2098" w:left="1588" w:header="851" w:footer="1644" w:gutter="0"/>
          <w:pgNumType w:fmt="numberInDash"/>
          <w:cols w:space="425" w:num="1"/>
          <w:docGrid w:type="lines" w:linePitch="312" w:charSpace="0"/>
        </w:sectPr>
      </w:pPr>
    </w:p>
    <w:p>
      <w:pPr>
        <w:spacing w:line="560" w:lineRule="exact"/>
        <w:rPr>
          <w:rFonts w:ascii="方正小标宋简体" w:hAnsi="华文中宋" w:eastAsia="方正小标宋简体"/>
          <w:sz w:val="44"/>
          <w:szCs w:val="44"/>
        </w:rPr>
      </w:pPr>
      <w:r>
        <w:rPr>
          <w:rFonts w:hint="eastAsia" w:ascii="黑体" w:hAnsi="黑体" w:eastAsia="黑体"/>
          <w:sz w:val="32"/>
          <w:szCs w:val="32"/>
        </w:rPr>
        <w:t xml:space="preserve">附件4 </w:t>
      </w:r>
      <w:r>
        <w:rPr>
          <w:rFonts w:ascii="黑体" w:hAnsi="黑体" w:eastAsia="黑体"/>
          <w:sz w:val="32"/>
          <w:szCs w:val="32"/>
        </w:rPr>
        <w:t xml:space="preserve">        </w:t>
      </w:r>
    </w:p>
    <w:p>
      <w:pPr>
        <w:spacing w:line="560" w:lineRule="exact"/>
        <w:jc w:val="center"/>
        <w:rPr>
          <w:rFonts w:ascii="黑体" w:hAnsi="黑体" w:eastAsia="黑体"/>
          <w:sz w:val="32"/>
          <w:szCs w:val="32"/>
        </w:rPr>
      </w:pPr>
      <w:r>
        <w:rPr>
          <w:rFonts w:hint="eastAsia" w:ascii="方正小标宋简体" w:hAnsi="华文中宋" w:eastAsia="方正小标宋简体"/>
          <w:sz w:val="44"/>
          <w:szCs w:val="44"/>
        </w:rPr>
        <w:t>历下区区级行政事业国有资产调拨审批表（式样）</w:t>
      </w:r>
    </w:p>
    <w:p>
      <w:pPr>
        <w:spacing w:line="560" w:lineRule="exact"/>
        <w:ind w:firstLine="10080" w:firstLineChars="4800"/>
        <w:rPr>
          <w:rFonts w:ascii="仿宋_GB2312" w:eastAsia="仿宋_GB2312"/>
        </w:rPr>
      </w:pPr>
      <w:r>
        <w:rPr>
          <w:rFonts w:hint="eastAsia" w:ascii="仿宋_GB2312" w:eastAsia="仿宋_GB2312"/>
        </w:rPr>
        <w:t>金额单位：            元</w:t>
      </w:r>
    </w:p>
    <w:tbl>
      <w:tblPr>
        <w:tblStyle w:val="7"/>
        <w:tblW w:w="5567"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96"/>
        <w:gridCol w:w="1898"/>
        <w:gridCol w:w="387"/>
        <w:gridCol w:w="1002"/>
        <w:gridCol w:w="1392"/>
        <w:gridCol w:w="438"/>
        <w:gridCol w:w="1203"/>
        <w:gridCol w:w="1268"/>
        <w:gridCol w:w="492"/>
        <w:gridCol w:w="773"/>
        <w:gridCol w:w="2399"/>
        <w:gridCol w:w="23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243" w:type="pct"/>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黑体" w:hAnsi="黑体" w:eastAsia="黑体"/>
                <w:sz w:val="24"/>
              </w:rPr>
            </w:pPr>
            <w:r>
              <w:rPr>
                <w:rFonts w:hint="eastAsia" w:ascii="黑体" w:hAnsi="黑体" w:eastAsia="黑体"/>
                <w:sz w:val="24"/>
              </w:rPr>
              <w:t>序号</w:t>
            </w:r>
          </w:p>
        </w:tc>
        <w:tc>
          <w:tcPr>
            <w:tcW w:w="663" w:type="pct"/>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黑体" w:hAnsi="黑体" w:eastAsia="黑体"/>
                <w:sz w:val="24"/>
              </w:rPr>
            </w:pPr>
            <w:r>
              <w:rPr>
                <w:rFonts w:hint="eastAsia" w:ascii="黑体" w:hAnsi="黑体" w:eastAsia="黑体"/>
                <w:sz w:val="24"/>
              </w:rPr>
              <w:t>资产名称</w:t>
            </w:r>
          </w:p>
        </w:tc>
        <w:tc>
          <w:tcPr>
            <w:tcW w:w="485" w:type="pct"/>
            <w:gridSpan w:val="2"/>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黑体" w:hAnsi="黑体" w:eastAsia="黑体"/>
                <w:sz w:val="24"/>
              </w:rPr>
            </w:pPr>
            <w:r>
              <w:rPr>
                <w:rFonts w:hint="eastAsia" w:ascii="黑体" w:hAnsi="黑体" w:eastAsia="黑体"/>
                <w:sz w:val="24"/>
              </w:rPr>
              <w:t>规格型号</w:t>
            </w:r>
          </w:p>
        </w:tc>
        <w:tc>
          <w:tcPr>
            <w:tcW w:w="486" w:type="pct"/>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黑体" w:hAnsi="黑体" w:eastAsia="黑体"/>
                <w:sz w:val="24"/>
              </w:rPr>
            </w:pPr>
            <w:r>
              <w:rPr>
                <w:rFonts w:hint="eastAsia" w:ascii="黑体" w:hAnsi="黑体" w:eastAsia="黑体"/>
                <w:sz w:val="24"/>
              </w:rPr>
              <w:t>购建时间</w:t>
            </w:r>
          </w:p>
        </w:tc>
        <w:tc>
          <w:tcPr>
            <w:tcW w:w="573" w:type="pct"/>
            <w:gridSpan w:val="2"/>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黑体" w:hAnsi="黑体" w:eastAsia="黑体"/>
                <w:sz w:val="24"/>
              </w:rPr>
            </w:pPr>
            <w:r>
              <w:rPr>
                <w:rFonts w:hint="eastAsia" w:ascii="黑体" w:hAnsi="黑体" w:eastAsia="黑体"/>
                <w:sz w:val="24"/>
              </w:rPr>
              <w:t>数量（台、辆、平方米等）</w:t>
            </w:r>
          </w:p>
        </w:tc>
        <w:tc>
          <w:tcPr>
            <w:tcW w:w="443" w:type="pct"/>
            <w:tcBorders>
              <w:top w:val="single" w:color="000000" w:sz="4" w:space="0"/>
              <w:left w:val="single" w:color="000000" w:sz="4" w:space="0"/>
              <w:bottom w:val="single" w:color="000000" w:sz="4" w:space="0"/>
              <w:right w:val="single" w:color="auto" w:sz="4" w:space="0"/>
            </w:tcBorders>
            <w:vAlign w:val="center"/>
          </w:tcPr>
          <w:p>
            <w:pPr>
              <w:spacing w:line="300" w:lineRule="exact"/>
              <w:jc w:val="center"/>
              <w:rPr>
                <w:rFonts w:ascii="黑体" w:hAnsi="黑体" w:eastAsia="黑体"/>
                <w:sz w:val="24"/>
              </w:rPr>
            </w:pPr>
            <w:r>
              <w:rPr>
                <w:rFonts w:hint="eastAsia" w:ascii="黑体" w:hAnsi="黑体" w:eastAsia="黑体"/>
                <w:sz w:val="24"/>
              </w:rPr>
              <w:t>单价</w:t>
            </w:r>
          </w:p>
        </w:tc>
        <w:tc>
          <w:tcPr>
            <w:tcW w:w="442" w:type="pct"/>
            <w:gridSpan w:val="2"/>
            <w:tcBorders>
              <w:top w:val="single" w:color="000000" w:sz="4" w:space="0"/>
              <w:left w:val="single" w:color="auto" w:sz="4" w:space="0"/>
              <w:bottom w:val="single" w:color="000000" w:sz="4" w:space="0"/>
              <w:right w:val="single" w:color="000000" w:sz="4" w:space="0"/>
            </w:tcBorders>
            <w:vAlign w:val="center"/>
          </w:tcPr>
          <w:p>
            <w:pPr>
              <w:spacing w:line="300" w:lineRule="exact"/>
              <w:jc w:val="center"/>
              <w:rPr>
                <w:rFonts w:ascii="黑体" w:hAnsi="黑体" w:eastAsia="黑体"/>
                <w:sz w:val="24"/>
              </w:rPr>
            </w:pPr>
            <w:r>
              <w:rPr>
                <w:rFonts w:hint="eastAsia" w:ascii="黑体" w:hAnsi="黑体" w:eastAsia="黑体"/>
                <w:sz w:val="24"/>
              </w:rPr>
              <w:t>账面原值</w:t>
            </w:r>
          </w:p>
        </w:tc>
        <w:tc>
          <w:tcPr>
            <w:tcW w:w="838" w:type="pct"/>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黑体" w:hAnsi="黑体" w:eastAsia="黑体"/>
                <w:sz w:val="24"/>
              </w:rPr>
            </w:pPr>
            <w:r>
              <w:rPr>
                <w:rFonts w:hint="eastAsia" w:ascii="黑体" w:hAnsi="黑体" w:eastAsia="黑体"/>
                <w:sz w:val="24"/>
              </w:rPr>
              <w:t>权属证号（车辆识别代码或车架号、房屋所有权证号、土地使用证号）</w:t>
            </w:r>
          </w:p>
        </w:tc>
        <w:tc>
          <w:tcPr>
            <w:tcW w:w="827" w:type="pct"/>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黑体" w:hAnsi="黑体" w:eastAsia="黑体"/>
                <w:sz w:val="24"/>
              </w:rPr>
            </w:pPr>
            <w:r>
              <w:rPr>
                <w:rFonts w:hint="eastAsia" w:ascii="黑体" w:hAnsi="黑体" w:eastAsia="黑体"/>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43" w:type="pct"/>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pPr>
          </w:p>
        </w:tc>
        <w:tc>
          <w:tcPr>
            <w:tcW w:w="663" w:type="pct"/>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pPr>
          </w:p>
        </w:tc>
        <w:tc>
          <w:tcPr>
            <w:tcW w:w="485" w:type="pct"/>
            <w:gridSpan w:val="2"/>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pPr>
          </w:p>
        </w:tc>
        <w:tc>
          <w:tcPr>
            <w:tcW w:w="486" w:type="pct"/>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pPr>
          </w:p>
        </w:tc>
        <w:tc>
          <w:tcPr>
            <w:tcW w:w="573" w:type="pct"/>
            <w:gridSpan w:val="2"/>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pPr>
          </w:p>
        </w:tc>
        <w:tc>
          <w:tcPr>
            <w:tcW w:w="443" w:type="pct"/>
            <w:tcBorders>
              <w:top w:val="single" w:color="000000" w:sz="4" w:space="0"/>
              <w:left w:val="single" w:color="000000" w:sz="4" w:space="0"/>
              <w:bottom w:val="single" w:color="000000" w:sz="4" w:space="0"/>
              <w:right w:val="single" w:color="auto" w:sz="4" w:space="0"/>
            </w:tcBorders>
          </w:tcPr>
          <w:p>
            <w:pPr>
              <w:spacing w:line="560" w:lineRule="exact"/>
              <w:ind w:firstLine="420" w:firstLineChars="200"/>
            </w:pPr>
          </w:p>
        </w:tc>
        <w:tc>
          <w:tcPr>
            <w:tcW w:w="442" w:type="pct"/>
            <w:gridSpan w:val="2"/>
            <w:tcBorders>
              <w:top w:val="single" w:color="000000" w:sz="4" w:space="0"/>
              <w:left w:val="single" w:color="auto" w:sz="4" w:space="0"/>
              <w:bottom w:val="single" w:color="000000" w:sz="4" w:space="0"/>
              <w:right w:val="single" w:color="000000" w:sz="4" w:space="0"/>
            </w:tcBorders>
          </w:tcPr>
          <w:p>
            <w:pPr>
              <w:spacing w:line="560" w:lineRule="exact"/>
              <w:ind w:firstLine="420" w:firstLineChars="200"/>
            </w:pPr>
          </w:p>
        </w:tc>
        <w:tc>
          <w:tcPr>
            <w:tcW w:w="838" w:type="pct"/>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pPr>
          </w:p>
        </w:tc>
        <w:tc>
          <w:tcPr>
            <w:tcW w:w="827" w:type="pct"/>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43" w:type="pct"/>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pPr>
          </w:p>
        </w:tc>
        <w:tc>
          <w:tcPr>
            <w:tcW w:w="663" w:type="pct"/>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pPr>
          </w:p>
        </w:tc>
        <w:tc>
          <w:tcPr>
            <w:tcW w:w="485" w:type="pct"/>
            <w:gridSpan w:val="2"/>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pPr>
          </w:p>
        </w:tc>
        <w:tc>
          <w:tcPr>
            <w:tcW w:w="486" w:type="pct"/>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pPr>
          </w:p>
        </w:tc>
        <w:tc>
          <w:tcPr>
            <w:tcW w:w="573" w:type="pct"/>
            <w:gridSpan w:val="2"/>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pPr>
          </w:p>
        </w:tc>
        <w:tc>
          <w:tcPr>
            <w:tcW w:w="443" w:type="pct"/>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pPr>
          </w:p>
        </w:tc>
        <w:tc>
          <w:tcPr>
            <w:tcW w:w="442" w:type="pct"/>
            <w:gridSpan w:val="2"/>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pPr>
          </w:p>
        </w:tc>
        <w:tc>
          <w:tcPr>
            <w:tcW w:w="838" w:type="pct"/>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pPr>
          </w:p>
        </w:tc>
        <w:tc>
          <w:tcPr>
            <w:tcW w:w="827" w:type="pct"/>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893" w:type="pct"/>
            <w:gridSpan w:val="8"/>
            <w:tcBorders>
              <w:top w:val="single" w:color="000000" w:sz="4" w:space="0"/>
              <w:left w:val="single" w:color="000000" w:sz="4" w:space="0"/>
              <w:bottom w:val="single" w:color="000000" w:sz="4" w:space="0"/>
              <w:right w:val="single" w:color="000000" w:sz="4" w:space="0"/>
            </w:tcBorders>
          </w:tcPr>
          <w:p>
            <w:pPr>
              <w:spacing w:line="560" w:lineRule="exact"/>
              <w:ind w:firstLine="3570" w:firstLineChars="1700"/>
              <w:rPr>
                <w:rFonts w:ascii="仿宋_GB2312" w:eastAsia="仿宋_GB2312"/>
              </w:rPr>
            </w:pPr>
            <w:r>
              <w:rPr>
                <w:rFonts w:hint="eastAsia" w:ascii="仿宋_GB2312" w:eastAsia="仿宋_GB2312"/>
              </w:rPr>
              <w:t>合    计</w:t>
            </w:r>
          </w:p>
        </w:tc>
        <w:tc>
          <w:tcPr>
            <w:tcW w:w="442" w:type="pct"/>
            <w:gridSpan w:val="2"/>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rPr>
                <w:rFonts w:ascii="仿宋_GB2312" w:eastAsia="仿宋_GB2312"/>
              </w:rPr>
            </w:pPr>
          </w:p>
        </w:tc>
        <w:tc>
          <w:tcPr>
            <w:tcW w:w="838" w:type="pct"/>
            <w:tcBorders>
              <w:top w:val="single" w:color="000000" w:sz="4" w:space="0"/>
              <w:left w:val="single" w:color="000000" w:sz="4" w:space="0"/>
              <w:bottom w:val="single" w:color="000000" w:sz="4" w:space="0"/>
              <w:right w:val="single" w:color="000000" w:sz="4" w:space="0"/>
            </w:tcBorders>
          </w:tcPr>
          <w:p>
            <w:pPr>
              <w:spacing w:line="560" w:lineRule="exact"/>
              <w:ind w:firstLine="1155" w:firstLineChars="550"/>
              <w:rPr>
                <w:rFonts w:ascii="仿宋_GB2312" w:eastAsia="仿宋_GB2312"/>
              </w:rPr>
            </w:pPr>
            <w:r>
              <w:rPr>
                <w:rFonts w:hint="eastAsia" w:ascii="仿宋_GB2312" w:eastAsia="仿宋_GB2312"/>
              </w:rPr>
              <w:t>×</w:t>
            </w:r>
          </w:p>
        </w:tc>
        <w:tc>
          <w:tcPr>
            <w:tcW w:w="827" w:type="pct"/>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rPr>
                <w:rFonts w:ascii="仿宋_GB2312"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85" w:hRule="atLeast"/>
          <w:jc w:val="center"/>
        </w:trPr>
        <w:tc>
          <w:tcPr>
            <w:tcW w:w="1041" w:type="pct"/>
            <w:gridSpan w:val="3"/>
            <w:tcBorders>
              <w:top w:val="single" w:color="000000" w:sz="4" w:space="0"/>
              <w:left w:val="single" w:color="000000" w:sz="4" w:space="0"/>
              <w:bottom w:val="single" w:color="000000" w:sz="4" w:space="0"/>
              <w:right w:val="single" w:color="000000" w:sz="4" w:space="0"/>
            </w:tcBorders>
          </w:tcPr>
          <w:p>
            <w:pPr>
              <w:spacing w:line="360" w:lineRule="exact"/>
              <w:rPr>
                <w:rFonts w:ascii="仿宋_GB2312" w:eastAsia="仿宋_GB2312"/>
              </w:rPr>
            </w:pPr>
            <w:r>
              <w:rPr>
                <w:rFonts w:hint="eastAsia" w:ascii="仿宋_GB2312" w:eastAsia="仿宋_GB2312"/>
              </w:rPr>
              <w:t>调出单位意见</w:t>
            </w:r>
          </w:p>
          <w:p>
            <w:pPr>
              <w:spacing w:line="360" w:lineRule="exact"/>
              <w:rPr>
                <w:rFonts w:ascii="仿宋_GB2312" w:eastAsia="仿宋_GB2312"/>
              </w:rPr>
            </w:pPr>
          </w:p>
          <w:p>
            <w:pPr>
              <w:spacing w:line="360" w:lineRule="exact"/>
              <w:rPr>
                <w:rFonts w:ascii="仿宋_GB2312" w:eastAsia="仿宋_GB2312"/>
              </w:rPr>
            </w:pPr>
            <w:r>
              <w:rPr>
                <w:rFonts w:hint="eastAsia" w:ascii="仿宋_GB2312" w:eastAsia="仿宋_GB2312"/>
              </w:rPr>
              <w:t>单位负责人：</w:t>
            </w:r>
          </w:p>
          <w:p>
            <w:pPr>
              <w:spacing w:line="360" w:lineRule="exact"/>
              <w:rPr>
                <w:rFonts w:ascii="仿宋_GB2312" w:eastAsia="仿宋_GB2312"/>
                <w:spacing w:val="-14"/>
              </w:rPr>
            </w:pPr>
            <w:r>
              <w:rPr>
                <w:rFonts w:hint="eastAsia" w:ascii="仿宋_GB2312" w:eastAsia="仿宋_GB2312"/>
                <w:spacing w:val="-14"/>
              </w:rPr>
              <w:t>资产管理机构负责人：</w:t>
            </w:r>
          </w:p>
          <w:p>
            <w:pPr>
              <w:spacing w:line="360" w:lineRule="exact"/>
              <w:rPr>
                <w:rFonts w:ascii="仿宋_GB2312" w:eastAsia="仿宋_GB2312"/>
                <w:spacing w:val="-14"/>
              </w:rPr>
            </w:pPr>
          </w:p>
          <w:p>
            <w:pPr>
              <w:spacing w:line="360" w:lineRule="exact"/>
              <w:rPr>
                <w:rFonts w:ascii="仿宋_GB2312" w:eastAsia="仿宋_GB2312"/>
              </w:rPr>
            </w:pPr>
            <w:r>
              <w:rPr>
                <w:rFonts w:hint="eastAsia" w:ascii="仿宋_GB2312" w:eastAsia="仿宋_GB2312"/>
              </w:rPr>
              <w:t>资产管理人员：</w:t>
            </w:r>
          </w:p>
          <w:p>
            <w:pPr>
              <w:spacing w:line="360" w:lineRule="exact"/>
              <w:ind w:firstLine="1470" w:firstLineChars="700"/>
              <w:rPr>
                <w:rFonts w:ascii="仿宋_GB2312" w:eastAsia="仿宋_GB2312"/>
              </w:rPr>
            </w:pPr>
            <w:r>
              <w:rPr>
                <w:rFonts w:hint="eastAsia" w:ascii="仿宋_GB2312" w:eastAsia="仿宋_GB2312"/>
              </w:rPr>
              <w:t>（单位公章）</w:t>
            </w:r>
          </w:p>
          <w:p>
            <w:pPr>
              <w:spacing w:line="360" w:lineRule="exact"/>
              <w:ind w:firstLine="1680" w:firstLineChars="800"/>
              <w:rPr>
                <w:rFonts w:ascii="仿宋_GB2312" w:eastAsia="仿宋_GB2312"/>
              </w:rPr>
            </w:pPr>
            <w:r>
              <w:rPr>
                <w:rFonts w:hint="eastAsia" w:ascii="仿宋_GB2312" w:eastAsia="仿宋_GB2312"/>
              </w:rPr>
              <w:t xml:space="preserve">年  月  日 </w:t>
            </w:r>
          </w:p>
        </w:tc>
        <w:tc>
          <w:tcPr>
            <w:tcW w:w="989" w:type="pct"/>
            <w:gridSpan w:val="3"/>
            <w:tcBorders>
              <w:top w:val="single" w:color="000000" w:sz="4" w:space="0"/>
              <w:left w:val="single" w:color="000000" w:sz="4" w:space="0"/>
              <w:bottom w:val="single" w:color="000000" w:sz="4" w:space="0"/>
              <w:right w:val="single" w:color="000000" w:sz="4" w:space="0"/>
            </w:tcBorders>
          </w:tcPr>
          <w:p>
            <w:pPr>
              <w:spacing w:line="360" w:lineRule="exact"/>
              <w:rPr>
                <w:rFonts w:ascii="仿宋_GB2312" w:eastAsia="仿宋_GB2312"/>
              </w:rPr>
            </w:pPr>
            <w:r>
              <w:rPr>
                <w:rFonts w:hint="eastAsia" w:ascii="仿宋_GB2312" w:eastAsia="仿宋_GB2312"/>
              </w:rPr>
              <w:t>调出主管部门意见</w:t>
            </w:r>
          </w:p>
          <w:p>
            <w:pPr>
              <w:spacing w:line="360" w:lineRule="exact"/>
              <w:rPr>
                <w:rFonts w:ascii="仿宋_GB2312" w:eastAsia="仿宋_GB2312"/>
              </w:rPr>
            </w:pPr>
          </w:p>
          <w:p>
            <w:pPr>
              <w:spacing w:line="360" w:lineRule="exact"/>
              <w:rPr>
                <w:rFonts w:ascii="仿宋_GB2312" w:eastAsia="仿宋_GB2312"/>
              </w:rPr>
            </w:pPr>
            <w:r>
              <w:rPr>
                <w:rFonts w:hint="eastAsia" w:ascii="仿宋_GB2312" w:eastAsia="仿宋_GB2312"/>
              </w:rPr>
              <w:t>单位负责人：</w:t>
            </w:r>
          </w:p>
          <w:p>
            <w:pPr>
              <w:spacing w:line="360" w:lineRule="exact"/>
              <w:rPr>
                <w:rFonts w:ascii="仿宋_GB2312" w:eastAsia="仿宋_GB2312"/>
              </w:rPr>
            </w:pPr>
            <w:r>
              <w:rPr>
                <w:rFonts w:hint="eastAsia" w:ascii="仿宋_GB2312" w:eastAsia="仿宋_GB2312"/>
              </w:rPr>
              <w:t>资产管理机构负责人：</w:t>
            </w:r>
          </w:p>
          <w:p>
            <w:pPr>
              <w:spacing w:line="360" w:lineRule="exact"/>
              <w:rPr>
                <w:rFonts w:ascii="仿宋_GB2312" w:eastAsia="仿宋_GB2312"/>
              </w:rPr>
            </w:pPr>
          </w:p>
          <w:p>
            <w:pPr>
              <w:spacing w:line="360" w:lineRule="exact"/>
              <w:rPr>
                <w:rFonts w:ascii="仿宋_GB2312" w:eastAsia="仿宋_GB2312"/>
              </w:rPr>
            </w:pPr>
            <w:r>
              <w:rPr>
                <w:rFonts w:hint="eastAsia" w:ascii="仿宋_GB2312" w:eastAsia="仿宋_GB2312"/>
              </w:rPr>
              <w:t>资产管理人员：</w:t>
            </w:r>
          </w:p>
          <w:p>
            <w:pPr>
              <w:spacing w:line="360" w:lineRule="exact"/>
              <w:ind w:firstLine="1365" w:firstLineChars="650"/>
              <w:rPr>
                <w:rFonts w:ascii="仿宋_GB2312" w:eastAsia="仿宋_GB2312"/>
              </w:rPr>
            </w:pPr>
            <w:r>
              <w:rPr>
                <w:rFonts w:hint="eastAsia" w:ascii="仿宋_GB2312" w:eastAsia="仿宋_GB2312"/>
              </w:rPr>
              <w:t>（单位公章）</w:t>
            </w:r>
          </w:p>
          <w:p>
            <w:pPr>
              <w:spacing w:line="360" w:lineRule="exact"/>
              <w:ind w:firstLine="1470" w:firstLineChars="700"/>
              <w:rPr>
                <w:rFonts w:ascii="仿宋_GB2312" w:eastAsia="仿宋_GB2312"/>
              </w:rPr>
            </w:pPr>
            <w:r>
              <w:rPr>
                <w:rFonts w:hint="eastAsia" w:ascii="仿宋_GB2312" w:eastAsia="仿宋_GB2312"/>
              </w:rPr>
              <w:t xml:space="preserve">年  月  日 </w:t>
            </w:r>
          </w:p>
        </w:tc>
        <w:tc>
          <w:tcPr>
            <w:tcW w:w="1035" w:type="pct"/>
            <w:gridSpan w:val="3"/>
            <w:tcBorders>
              <w:top w:val="single" w:color="000000" w:sz="4" w:space="0"/>
              <w:left w:val="single" w:color="000000" w:sz="4" w:space="0"/>
              <w:bottom w:val="single" w:color="000000" w:sz="4" w:space="0"/>
              <w:right w:val="single" w:color="auto" w:sz="4" w:space="0"/>
            </w:tcBorders>
          </w:tcPr>
          <w:p>
            <w:pPr>
              <w:spacing w:line="360" w:lineRule="exact"/>
              <w:rPr>
                <w:rFonts w:ascii="仿宋_GB2312" w:eastAsia="仿宋_GB2312"/>
              </w:rPr>
            </w:pPr>
            <w:r>
              <w:rPr>
                <w:rFonts w:hint="eastAsia" w:ascii="仿宋_GB2312" w:eastAsia="仿宋_GB2312"/>
              </w:rPr>
              <w:t>调入单位意见</w:t>
            </w:r>
          </w:p>
          <w:p>
            <w:pPr>
              <w:spacing w:line="360" w:lineRule="exact"/>
              <w:rPr>
                <w:rFonts w:ascii="仿宋_GB2312" w:eastAsia="仿宋_GB2312"/>
              </w:rPr>
            </w:pPr>
          </w:p>
          <w:p>
            <w:pPr>
              <w:spacing w:line="360" w:lineRule="exact"/>
              <w:rPr>
                <w:rFonts w:ascii="仿宋_GB2312" w:eastAsia="仿宋_GB2312"/>
              </w:rPr>
            </w:pPr>
            <w:r>
              <w:rPr>
                <w:rFonts w:hint="eastAsia" w:ascii="仿宋_GB2312" w:eastAsia="仿宋_GB2312"/>
              </w:rPr>
              <w:t>单位负责人：</w:t>
            </w:r>
          </w:p>
          <w:p>
            <w:pPr>
              <w:spacing w:line="360" w:lineRule="exact"/>
              <w:rPr>
                <w:rFonts w:ascii="仿宋_GB2312" w:eastAsia="仿宋_GB2312"/>
              </w:rPr>
            </w:pPr>
            <w:r>
              <w:rPr>
                <w:rFonts w:hint="eastAsia" w:ascii="仿宋_GB2312" w:eastAsia="仿宋_GB2312"/>
              </w:rPr>
              <w:t>资产管理机构负责人：</w:t>
            </w:r>
          </w:p>
          <w:p>
            <w:pPr>
              <w:spacing w:line="360" w:lineRule="exact"/>
              <w:rPr>
                <w:rFonts w:ascii="仿宋_GB2312" w:eastAsia="仿宋_GB2312"/>
              </w:rPr>
            </w:pPr>
          </w:p>
          <w:p>
            <w:pPr>
              <w:spacing w:line="360" w:lineRule="exact"/>
              <w:rPr>
                <w:rFonts w:ascii="仿宋_GB2312" w:eastAsia="仿宋_GB2312"/>
              </w:rPr>
            </w:pPr>
            <w:r>
              <w:rPr>
                <w:rFonts w:hint="eastAsia" w:ascii="仿宋_GB2312" w:eastAsia="仿宋_GB2312"/>
              </w:rPr>
              <w:t>资产管理人员：</w:t>
            </w:r>
          </w:p>
          <w:p>
            <w:pPr>
              <w:spacing w:line="360" w:lineRule="exact"/>
              <w:ind w:firstLine="1470" w:firstLineChars="700"/>
              <w:rPr>
                <w:rFonts w:ascii="仿宋_GB2312" w:eastAsia="仿宋_GB2312"/>
              </w:rPr>
            </w:pPr>
            <w:r>
              <w:rPr>
                <w:rFonts w:hint="eastAsia" w:ascii="仿宋_GB2312" w:eastAsia="仿宋_GB2312"/>
              </w:rPr>
              <w:t>（单位公章）</w:t>
            </w:r>
          </w:p>
          <w:p>
            <w:pPr>
              <w:spacing w:line="360" w:lineRule="exact"/>
              <w:ind w:firstLine="1680" w:firstLineChars="800"/>
              <w:rPr>
                <w:rFonts w:ascii="仿宋_GB2312" w:eastAsia="仿宋_GB2312"/>
              </w:rPr>
            </w:pPr>
            <w:r>
              <w:rPr>
                <w:rFonts w:hint="eastAsia" w:ascii="仿宋_GB2312" w:eastAsia="仿宋_GB2312"/>
              </w:rPr>
              <w:t xml:space="preserve">年  月  日 </w:t>
            </w:r>
          </w:p>
        </w:tc>
        <w:tc>
          <w:tcPr>
            <w:tcW w:w="1108" w:type="pct"/>
            <w:gridSpan w:val="2"/>
            <w:tcBorders>
              <w:top w:val="single" w:color="000000" w:sz="4" w:space="0"/>
              <w:left w:val="single" w:color="auto" w:sz="4" w:space="0"/>
              <w:bottom w:val="single" w:color="000000" w:sz="4" w:space="0"/>
              <w:right w:val="single" w:color="000000" w:sz="4" w:space="0"/>
            </w:tcBorders>
          </w:tcPr>
          <w:p>
            <w:pPr>
              <w:spacing w:line="360" w:lineRule="exact"/>
              <w:rPr>
                <w:rFonts w:ascii="仿宋_GB2312" w:eastAsia="仿宋_GB2312"/>
              </w:rPr>
            </w:pPr>
            <w:r>
              <w:rPr>
                <w:rFonts w:hint="eastAsia" w:ascii="仿宋_GB2312" w:eastAsia="仿宋_GB2312"/>
              </w:rPr>
              <w:t>调入主管部门意见</w:t>
            </w:r>
          </w:p>
          <w:p>
            <w:pPr>
              <w:spacing w:line="360" w:lineRule="exact"/>
              <w:rPr>
                <w:rFonts w:ascii="仿宋_GB2312" w:eastAsia="仿宋_GB2312"/>
              </w:rPr>
            </w:pPr>
          </w:p>
          <w:p>
            <w:pPr>
              <w:spacing w:line="360" w:lineRule="exact"/>
              <w:rPr>
                <w:rFonts w:ascii="仿宋_GB2312" w:eastAsia="仿宋_GB2312"/>
              </w:rPr>
            </w:pPr>
            <w:r>
              <w:rPr>
                <w:rFonts w:hint="eastAsia" w:ascii="仿宋_GB2312" w:eastAsia="仿宋_GB2312"/>
              </w:rPr>
              <w:t>单位负责人：</w:t>
            </w:r>
          </w:p>
          <w:p>
            <w:pPr>
              <w:spacing w:line="360" w:lineRule="exact"/>
              <w:rPr>
                <w:rFonts w:ascii="仿宋_GB2312" w:eastAsia="仿宋_GB2312"/>
              </w:rPr>
            </w:pPr>
            <w:r>
              <w:rPr>
                <w:rFonts w:hint="eastAsia" w:ascii="仿宋_GB2312" w:eastAsia="仿宋_GB2312"/>
              </w:rPr>
              <w:t>资产管理机构负责人：</w:t>
            </w:r>
          </w:p>
          <w:p>
            <w:pPr>
              <w:spacing w:line="360" w:lineRule="exact"/>
              <w:rPr>
                <w:rFonts w:ascii="仿宋_GB2312" w:eastAsia="仿宋_GB2312"/>
              </w:rPr>
            </w:pPr>
          </w:p>
          <w:p>
            <w:pPr>
              <w:spacing w:line="360" w:lineRule="exact"/>
              <w:rPr>
                <w:rFonts w:ascii="仿宋_GB2312" w:eastAsia="仿宋_GB2312"/>
              </w:rPr>
            </w:pPr>
            <w:r>
              <w:rPr>
                <w:rFonts w:hint="eastAsia" w:ascii="仿宋_GB2312" w:eastAsia="仿宋_GB2312"/>
              </w:rPr>
              <w:t>资产管理人员：</w:t>
            </w:r>
          </w:p>
          <w:p>
            <w:pPr>
              <w:spacing w:line="360" w:lineRule="exact"/>
              <w:ind w:firstLine="1680" w:firstLineChars="800"/>
              <w:rPr>
                <w:rFonts w:ascii="仿宋_GB2312" w:eastAsia="仿宋_GB2312"/>
              </w:rPr>
            </w:pPr>
            <w:r>
              <w:rPr>
                <w:rFonts w:hint="eastAsia" w:ascii="仿宋_GB2312" w:eastAsia="仿宋_GB2312"/>
              </w:rPr>
              <w:t>（单位公章）</w:t>
            </w:r>
          </w:p>
          <w:p>
            <w:pPr>
              <w:widowControl/>
              <w:ind w:firstLine="1890" w:firstLineChars="900"/>
              <w:jc w:val="left"/>
              <w:rPr>
                <w:rFonts w:ascii="仿宋_GB2312" w:eastAsia="仿宋_GB2312"/>
              </w:rPr>
            </w:pPr>
            <w:r>
              <w:rPr>
                <w:rFonts w:hint="eastAsia" w:ascii="仿宋_GB2312" w:eastAsia="仿宋_GB2312"/>
              </w:rPr>
              <w:t>年  月  日</w:t>
            </w:r>
          </w:p>
        </w:tc>
        <w:tc>
          <w:tcPr>
            <w:tcW w:w="827" w:type="pct"/>
            <w:tcBorders>
              <w:top w:val="single" w:color="000000" w:sz="4" w:space="0"/>
              <w:left w:val="single" w:color="000000" w:sz="4" w:space="0"/>
              <w:bottom w:val="single" w:color="000000" w:sz="4" w:space="0"/>
              <w:right w:val="single" w:color="000000" w:sz="4" w:space="0"/>
            </w:tcBorders>
          </w:tcPr>
          <w:p>
            <w:pPr>
              <w:spacing w:line="360" w:lineRule="exact"/>
              <w:rPr>
                <w:rFonts w:ascii="仿宋_GB2312" w:eastAsia="仿宋_GB2312"/>
              </w:rPr>
            </w:pPr>
            <w:r>
              <w:rPr>
                <w:rFonts w:hint="eastAsia" w:ascii="仿宋_GB2312" w:eastAsia="仿宋_GB2312"/>
              </w:rPr>
              <w:t>财政部门（主管部门）审批意见</w:t>
            </w:r>
          </w:p>
          <w:p>
            <w:pPr>
              <w:spacing w:line="360" w:lineRule="exact"/>
              <w:rPr>
                <w:rFonts w:ascii="仿宋_GB2312" w:eastAsia="仿宋_GB2312"/>
              </w:rPr>
            </w:pPr>
          </w:p>
          <w:p>
            <w:pPr>
              <w:spacing w:line="360" w:lineRule="exact"/>
              <w:ind w:firstLine="420" w:firstLineChars="200"/>
              <w:rPr>
                <w:rFonts w:ascii="仿宋_GB2312" w:eastAsia="仿宋_GB2312"/>
              </w:rPr>
            </w:pPr>
          </w:p>
          <w:p>
            <w:pPr>
              <w:spacing w:line="360" w:lineRule="exact"/>
              <w:ind w:firstLine="420" w:firstLineChars="200"/>
              <w:rPr>
                <w:rFonts w:ascii="仿宋_GB2312" w:eastAsia="仿宋_GB2312"/>
              </w:rPr>
            </w:pPr>
          </w:p>
          <w:p>
            <w:pPr>
              <w:spacing w:line="340" w:lineRule="exact"/>
              <w:ind w:firstLine="420" w:firstLineChars="200"/>
              <w:rPr>
                <w:rFonts w:ascii="仿宋_GB2312" w:eastAsia="仿宋_GB2312"/>
              </w:rPr>
            </w:pPr>
          </w:p>
          <w:p>
            <w:pPr>
              <w:spacing w:line="360" w:lineRule="exact"/>
              <w:ind w:firstLine="1050" w:firstLineChars="500"/>
              <w:rPr>
                <w:rFonts w:ascii="仿宋_GB2312" w:eastAsia="仿宋_GB2312"/>
              </w:rPr>
            </w:pPr>
            <w:r>
              <w:rPr>
                <w:rFonts w:hint="eastAsia" w:ascii="仿宋_GB2312" w:eastAsia="仿宋_GB2312"/>
              </w:rPr>
              <w:t>（盖章）</w:t>
            </w:r>
          </w:p>
          <w:p>
            <w:pPr>
              <w:spacing w:line="360" w:lineRule="exact"/>
              <w:ind w:firstLine="1050" w:firstLineChars="500"/>
              <w:rPr>
                <w:rFonts w:ascii="仿宋_GB2312" w:eastAsia="仿宋_GB2312"/>
              </w:rPr>
            </w:pPr>
            <w:r>
              <w:rPr>
                <w:rFonts w:hint="eastAsia" w:ascii="仿宋_GB2312" w:eastAsia="仿宋_GB2312"/>
              </w:rPr>
              <w:t>年  月  日</w:t>
            </w:r>
          </w:p>
        </w:tc>
      </w:tr>
    </w:tbl>
    <w:p>
      <w:pPr>
        <w:spacing w:line="360" w:lineRule="exact"/>
        <w:rPr>
          <w:rFonts w:ascii="仿宋_GB2312" w:eastAsia="仿宋_GB2312"/>
        </w:rPr>
      </w:pPr>
      <w:r>
        <w:rPr>
          <w:rFonts w:hint="eastAsia" w:ascii="仿宋_GB2312" w:eastAsia="仿宋_GB2312"/>
        </w:rPr>
        <w:t>说明：1．本表一式五联，其中财政部门留存一联；调出、调入主管部门各留存一联；调出、调入单位各留作记账凭证一联。</w:t>
      </w:r>
    </w:p>
    <w:p>
      <w:pPr>
        <w:spacing w:line="360" w:lineRule="exact"/>
        <w:ind w:firstLine="630" w:firstLineChars="300"/>
        <w:rPr>
          <w:rFonts w:ascii="仿宋_GB2312" w:eastAsia="仿宋_GB2312"/>
        </w:rPr>
      </w:pPr>
      <w:r>
        <w:rPr>
          <w:rFonts w:hint="eastAsia" w:ascii="仿宋_GB2312" w:eastAsia="仿宋_GB2312"/>
        </w:rPr>
        <w:t>2．单位申请资产调拨，需同时附报《历下区区级行政事业国有资产处置管理办法》规定的申办材料。</w:t>
      </w:r>
    </w:p>
    <w:p>
      <w:pPr>
        <w:spacing w:line="360" w:lineRule="exact"/>
        <w:ind w:firstLine="630" w:firstLineChars="300"/>
        <w:rPr>
          <w:rFonts w:ascii="仿宋_GB2312" w:eastAsia="仿宋_GB2312"/>
        </w:rPr>
      </w:pPr>
      <w:r>
        <w:rPr>
          <w:rFonts w:hint="eastAsia" w:ascii="仿宋_GB2312" w:eastAsia="仿宋_GB2312"/>
        </w:rPr>
        <w:t>3．本表由申报资产调出单位通过“历下区行政事业资产管理信息系统”填制并打印上报。</w:t>
      </w:r>
    </w:p>
    <w:p>
      <w:pPr>
        <w:spacing w:line="360" w:lineRule="exact"/>
        <w:ind w:firstLine="630" w:firstLineChars="300"/>
        <w:rPr>
          <w:rFonts w:ascii="仿宋_GB2312" w:eastAsia="仿宋_GB2312"/>
        </w:rPr>
      </w:pPr>
      <w:r>
        <w:rPr>
          <w:rFonts w:hint="eastAsia" w:ascii="仿宋_GB2312" w:eastAsia="仿宋_GB2312"/>
        </w:rPr>
        <w:t>4．同一主管部门所属区级单位之间的调拨，主管部门只需填报“调出主管部门意见”栏。</w:t>
      </w:r>
    </w:p>
    <w:p>
      <w:pPr>
        <w:spacing w:line="560" w:lineRule="exact"/>
        <w:rPr>
          <w:rFonts w:ascii="黑体" w:hAnsi="黑体" w:eastAsia="黑体"/>
          <w:sz w:val="32"/>
          <w:szCs w:val="32"/>
        </w:rPr>
      </w:pPr>
      <w:r>
        <w:rPr>
          <w:rFonts w:hint="eastAsia" w:ascii="黑体" w:hAnsi="黑体" w:eastAsia="黑体"/>
          <w:sz w:val="32"/>
          <w:szCs w:val="32"/>
        </w:rPr>
        <w:t>附件5</w:t>
      </w:r>
    </w:p>
    <w:p>
      <w:pPr>
        <w:spacing w:line="560" w:lineRule="exact"/>
        <w:jc w:val="center"/>
        <w:rPr>
          <w:rFonts w:ascii="方正小标宋简体" w:hAnsi="华文中宋" w:eastAsia="方正小标宋简体"/>
          <w:sz w:val="44"/>
          <w:szCs w:val="44"/>
        </w:rPr>
      </w:pPr>
    </w:p>
    <w:p>
      <w:pPr>
        <w:spacing w:after="312" w:afterLines="100" w:line="560" w:lineRule="exact"/>
        <w:jc w:val="center"/>
        <w:rPr>
          <w:rFonts w:ascii="方正小标宋简体" w:hAnsi="华文中宋" w:eastAsia="方正小标宋简体"/>
          <w:sz w:val="44"/>
          <w:szCs w:val="44"/>
        </w:rPr>
      </w:pPr>
      <w:r>
        <w:rPr>
          <w:rFonts w:hint="eastAsia" w:ascii="方正小标宋简体" w:hAnsi="华文中宋" w:eastAsia="方正小标宋简体"/>
          <w:sz w:val="44"/>
          <w:szCs w:val="44"/>
        </w:rPr>
        <w:t>历下区区级行政事业国有资产报废审批表（式样）</w:t>
      </w:r>
    </w:p>
    <w:tbl>
      <w:tblPr>
        <w:tblStyle w:val="7"/>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75"/>
        <w:gridCol w:w="1560"/>
        <w:gridCol w:w="1559"/>
        <w:gridCol w:w="1559"/>
        <w:gridCol w:w="1559"/>
        <w:gridCol w:w="851"/>
        <w:gridCol w:w="1417"/>
        <w:gridCol w:w="2835"/>
        <w:gridCol w:w="21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黑体" w:hAnsi="黑体" w:eastAsia="黑体"/>
              </w:rPr>
            </w:pPr>
            <w:r>
              <w:rPr>
                <w:rFonts w:hint="eastAsia" w:ascii="黑体" w:hAnsi="黑体" w:eastAsia="黑体"/>
              </w:rPr>
              <w:t>序号</w:t>
            </w:r>
          </w:p>
        </w:tc>
        <w:tc>
          <w:tcPr>
            <w:tcW w:w="1560" w:type="dxa"/>
            <w:tcBorders>
              <w:top w:val="single" w:color="000000" w:sz="4" w:space="0"/>
              <w:left w:val="single" w:color="000000" w:sz="4" w:space="0"/>
              <w:bottom w:val="single" w:color="000000" w:sz="4" w:space="0"/>
              <w:right w:val="single" w:color="000000" w:sz="4" w:space="0"/>
            </w:tcBorders>
            <w:vAlign w:val="center"/>
          </w:tcPr>
          <w:p>
            <w:pPr>
              <w:spacing w:line="560" w:lineRule="exact"/>
              <w:ind w:firstLine="210" w:firstLineChars="100"/>
              <w:rPr>
                <w:rFonts w:ascii="黑体" w:hAnsi="黑体" w:eastAsia="黑体"/>
              </w:rPr>
            </w:pPr>
            <w:r>
              <w:rPr>
                <w:rFonts w:hint="eastAsia" w:ascii="黑体" w:hAnsi="黑体" w:eastAsia="黑体"/>
              </w:rPr>
              <w:t>资产名称</w:t>
            </w: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560" w:lineRule="exact"/>
              <w:ind w:firstLine="210" w:firstLineChars="100"/>
              <w:rPr>
                <w:rFonts w:ascii="黑体" w:hAnsi="黑体" w:eastAsia="黑体"/>
              </w:rPr>
            </w:pPr>
            <w:r>
              <w:rPr>
                <w:rFonts w:hint="eastAsia" w:ascii="黑体" w:hAnsi="黑体" w:eastAsia="黑体"/>
              </w:rPr>
              <w:t>规格型号</w:t>
            </w: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560" w:lineRule="exact"/>
              <w:ind w:firstLine="210" w:firstLineChars="100"/>
              <w:rPr>
                <w:rFonts w:ascii="黑体" w:hAnsi="黑体" w:eastAsia="黑体"/>
              </w:rPr>
            </w:pPr>
            <w:r>
              <w:rPr>
                <w:rFonts w:hint="eastAsia" w:ascii="黑体" w:hAnsi="黑体" w:eastAsia="黑体"/>
              </w:rPr>
              <w:t>购建时间</w:t>
            </w:r>
          </w:p>
        </w:tc>
        <w:tc>
          <w:tcPr>
            <w:tcW w:w="1559" w:type="dxa"/>
            <w:tcBorders>
              <w:top w:val="single" w:color="000000" w:sz="4" w:space="0"/>
              <w:left w:val="single" w:color="000000" w:sz="4" w:space="0"/>
              <w:bottom w:val="single" w:color="000000" w:sz="4" w:space="0"/>
              <w:right w:val="single" w:color="000000" w:sz="4" w:space="0"/>
            </w:tcBorders>
            <w:vAlign w:val="center"/>
          </w:tcPr>
          <w:p>
            <w:pPr>
              <w:spacing w:line="360" w:lineRule="exact"/>
              <w:ind w:firstLine="315" w:firstLineChars="150"/>
              <w:rPr>
                <w:rFonts w:ascii="黑体" w:hAnsi="黑体" w:eastAsia="黑体"/>
              </w:rPr>
            </w:pPr>
            <w:r>
              <w:rPr>
                <w:rFonts w:hint="eastAsia" w:ascii="黑体" w:hAnsi="黑体" w:eastAsia="黑体"/>
              </w:rPr>
              <w:t>数量（台、辆、平方米等）</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黑体" w:hAnsi="黑体" w:eastAsia="黑体"/>
              </w:rPr>
            </w:pPr>
            <w:r>
              <w:rPr>
                <w:rFonts w:hint="eastAsia" w:ascii="黑体" w:hAnsi="黑体" w:eastAsia="黑体"/>
              </w:rPr>
              <w:t>单价</w:t>
            </w:r>
          </w:p>
        </w:tc>
        <w:tc>
          <w:tcPr>
            <w:tcW w:w="1417"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黑体" w:hAnsi="黑体" w:eastAsia="黑体"/>
              </w:rPr>
            </w:pPr>
            <w:r>
              <w:rPr>
                <w:rFonts w:hint="eastAsia" w:ascii="黑体" w:hAnsi="黑体" w:eastAsia="黑体"/>
              </w:rPr>
              <w:t>账面原值</w:t>
            </w:r>
          </w:p>
        </w:tc>
        <w:tc>
          <w:tcPr>
            <w:tcW w:w="2835" w:type="dxa"/>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ascii="黑体" w:hAnsi="黑体" w:eastAsia="黑体"/>
              </w:rPr>
            </w:pPr>
            <w:r>
              <w:rPr>
                <w:rFonts w:hint="eastAsia" w:ascii="黑体" w:hAnsi="黑体" w:eastAsia="黑体"/>
              </w:rPr>
              <w:t>权属证号（车辆识别代码或车架号、房屋所有权证号、土地使用证号）</w:t>
            </w:r>
          </w:p>
        </w:tc>
        <w:tc>
          <w:tcPr>
            <w:tcW w:w="2127" w:type="dxa"/>
            <w:tcBorders>
              <w:top w:val="single" w:color="000000" w:sz="4" w:space="0"/>
              <w:left w:val="single" w:color="000000" w:sz="4" w:space="0"/>
              <w:bottom w:val="single" w:color="000000" w:sz="4" w:space="0"/>
              <w:right w:val="single" w:color="000000" w:sz="4" w:space="0"/>
            </w:tcBorders>
            <w:vAlign w:val="center"/>
          </w:tcPr>
          <w:p>
            <w:pPr>
              <w:spacing w:line="560" w:lineRule="exact"/>
              <w:ind w:firstLine="735" w:firstLineChars="350"/>
              <w:rPr>
                <w:rFonts w:ascii="黑体" w:hAnsi="黑体" w:eastAsia="黑体"/>
              </w:rPr>
            </w:pPr>
            <w:r>
              <w:rPr>
                <w:rFonts w:hint="eastAsia" w:ascii="黑体" w:hAnsi="黑体" w:eastAsia="黑体"/>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75" w:type="dxa"/>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pPr>
          </w:p>
        </w:tc>
        <w:tc>
          <w:tcPr>
            <w:tcW w:w="1560" w:type="dxa"/>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pPr>
          </w:p>
        </w:tc>
        <w:tc>
          <w:tcPr>
            <w:tcW w:w="1559" w:type="dxa"/>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pPr>
          </w:p>
        </w:tc>
        <w:tc>
          <w:tcPr>
            <w:tcW w:w="1559" w:type="dxa"/>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pPr>
          </w:p>
        </w:tc>
        <w:tc>
          <w:tcPr>
            <w:tcW w:w="1559" w:type="dxa"/>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pPr>
          </w:p>
        </w:tc>
        <w:tc>
          <w:tcPr>
            <w:tcW w:w="851" w:type="dxa"/>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pPr>
          </w:p>
        </w:tc>
        <w:tc>
          <w:tcPr>
            <w:tcW w:w="1417" w:type="dxa"/>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pPr>
          </w:p>
        </w:tc>
        <w:tc>
          <w:tcPr>
            <w:tcW w:w="2835" w:type="dxa"/>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pPr>
          </w:p>
        </w:tc>
        <w:tc>
          <w:tcPr>
            <w:tcW w:w="2127" w:type="dxa"/>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75" w:type="dxa"/>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pPr>
          </w:p>
        </w:tc>
        <w:tc>
          <w:tcPr>
            <w:tcW w:w="1560" w:type="dxa"/>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pPr>
          </w:p>
        </w:tc>
        <w:tc>
          <w:tcPr>
            <w:tcW w:w="1559" w:type="dxa"/>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pPr>
          </w:p>
        </w:tc>
        <w:tc>
          <w:tcPr>
            <w:tcW w:w="1559" w:type="dxa"/>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pPr>
          </w:p>
        </w:tc>
        <w:tc>
          <w:tcPr>
            <w:tcW w:w="1559" w:type="dxa"/>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pPr>
          </w:p>
        </w:tc>
        <w:tc>
          <w:tcPr>
            <w:tcW w:w="851" w:type="dxa"/>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pPr>
          </w:p>
        </w:tc>
        <w:tc>
          <w:tcPr>
            <w:tcW w:w="1417" w:type="dxa"/>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pPr>
          </w:p>
        </w:tc>
        <w:tc>
          <w:tcPr>
            <w:tcW w:w="2835" w:type="dxa"/>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pPr>
          </w:p>
        </w:tc>
        <w:tc>
          <w:tcPr>
            <w:tcW w:w="2127" w:type="dxa"/>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75" w:type="dxa"/>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pPr>
          </w:p>
        </w:tc>
        <w:tc>
          <w:tcPr>
            <w:tcW w:w="1560" w:type="dxa"/>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pPr>
          </w:p>
        </w:tc>
        <w:tc>
          <w:tcPr>
            <w:tcW w:w="1559" w:type="dxa"/>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pPr>
          </w:p>
        </w:tc>
        <w:tc>
          <w:tcPr>
            <w:tcW w:w="1559" w:type="dxa"/>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pPr>
          </w:p>
        </w:tc>
        <w:tc>
          <w:tcPr>
            <w:tcW w:w="1559" w:type="dxa"/>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pPr>
          </w:p>
        </w:tc>
        <w:tc>
          <w:tcPr>
            <w:tcW w:w="851" w:type="dxa"/>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pPr>
          </w:p>
        </w:tc>
        <w:tc>
          <w:tcPr>
            <w:tcW w:w="1417" w:type="dxa"/>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pPr>
          </w:p>
        </w:tc>
        <w:tc>
          <w:tcPr>
            <w:tcW w:w="2835" w:type="dxa"/>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pPr>
          </w:p>
        </w:tc>
        <w:tc>
          <w:tcPr>
            <w:tcW w:w="2127" w:type="dxa"/>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763" w:type="dxa"/>
            <w:gridSpan w:val="6"/>
            <w:tcBorders>
              <w:top w:val="single" w:color="000000" w:sz="4" w:space="0"/>
              <w:left w:val="single" w:color="000000" w:sz="4" w:space="0"/>
              <w:bottom w:val="single" w:color="000000" w:sz="4" w:space="0"/>
              <w:right w:val="single" w:color="000000" w:sz="4" w:space="0"/>
            </w:tcBorders>
            <w:vAlign w:val="center"/>
          </w:tcPr>
          <w:p>
            <w:pPr>
              <w:spacing w:line="560" w:lineRule="exact"/>
              <w:ind w:firstLine="3360" w:firstLineChars="1600"/>
              <w:rPr>
                <w:rFonts w:ascii="仿宋_GB2312" w:eastAsia="仿宋_GB2312"/>
              </w:rPr>
            </w:pPr>
            <w:r>
              <w:rPr>
                <w:rFonts w:hint="eastAsia" w:ascii="仿宋_GB2312" w:eastAsia="仿宋_GB2312"/>
              </w:rPr>
              <w:t>合   计</w:t>
            </w:r>
          </w:p>
        </w:tc>
        <w:tc>
          <w:tcPr>
            <w:tcW w:w="1417" w:type="dxa"/>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rPr>
                <w:rFonts w:ascii="仿宋_GB2312" w:eastAsia="仿宋_GB2312"/>
              </w:rPr>
            </w:pPr>
          </w:p>
        </w:tc>
        <w:tc>
          <w:tcPr>
            <w:tcW w:w="2835" w:type="dxa"/>
            <w:tcBorders>
              <w:top w:val="single" w:color="000000" w:sz="4" w:space="0"/>
              <w:left w:val="single" w:color="000000" w:sz="4" w:space="0"/>
              <w:bottom w:val="single" w:color="000000" w:sz="4" w:space="0"/>
              <w:right w:val="single" w:color="000000" w:sz="4" w:space="0"/>
            </w:tcBorders>
          </w:tcPr>
          <w:p>
            <w:pPr>
              <w:spacing w:line="560" w:lineRule="exact"/>
              <w:ind w:firstLine="1155" w:firstLineChars="550"/>
              <w:rPr>
                <w:rFonts w:ascii="仿宋_GB2312" w:eastAsia="仿宋_GB2312"/>
              </w:rPr>
            </w:pPr>
            <w:r>
              <w:rPr>
                <w:rFonts w:hint="eastAsia" w:ascii="仿宋_GB2312" w:eastAsia="仿宋_GB2312"/>
              </w:rPr>
              <w:t>×</w:t>
            </w:r>
          </w:p>
        </w:tc>
        <w:tc>
          <w:tcPr>
            <w:tcW w:w="2127" w:type="dxa"/>
            <w:tcBorders>
              <w:top w:val="single" w:color="000000" w:sz="4" w:space="0"/>
              <w:left w:val="single" w:color="000000" w:sz="4" w:space="0"/>
              <w:bottom w:val="single" w:color="000000" w:sz="4" w:space="0"/>
              <w:right w:val="single" w:color="000000" w:sz="4" w:space="0"/>
            </w:tcBorders>
          </w:tcPr>
          <w:p>
            <w:pPr>
              <w:spacing w:line="560" w:lineRule="exact"/>
              <w:ind w:firstLine="420" w:firstLineChars="200"/>
              <w:rPr>
                <w:rFonts w:ascii="仿宋_GB2312"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56" w:hRule="atLeast"/>
          <w:jc w:val="center"/>
        </w:trPr>
        <w:tc>
          <w:tcPr>
            <w:tcW w:w="3794" w:type="dxa"/>
            <w:gridSpan w:val="3"/>
            <w:tcBorders>
              <w:top w:val="single" w:color="000000" w:sz="4" w:space="0"/>
              <w:left w:val="single" w:color="000000" w:sz="4" w:space="0"/>
              <w:bottom w:val="single" w:color="000000" w:sz="4" w:space="0"/>
              <w:right w:val="single" w:color="000000" w:sz="4" w:space="0"/>
            </w:tcBorders>
          </w:tcPr>
          <w:p>
            <w:pPr>
              <w:spacing w:line="300" w:lineRule="exact"/>
              <w:rPr>
                <w:rFonts w:ascii="仿宋_GB2312" w:eastAsia="仿宋_GB2312"/>
              </w:rPr>
            </w:pPr>
            <w:r>
              <w:rPr>
                <w:rFonts w:hint="eastAsia" w:ascii="仿宋_GB2312" w:eastAsia="仿宋_GB2312"/>
              </w:rPr>
              <w:t>申报单位</w:t>
            </w:r>
          </w:p>
          <w:p>
            <w:pPr>
              <w:spacing w:line="300" w:lineRule="exact"/>
              <w:rPr>
                <w:rFonts w:ascii="仿宋_GB2312" w:eastAsia="仿宋_GB2312"/>
              </w:rPr>
            </w:pPr>
            <w:r>
              <w:rPr>
                <w:rFonts w:hint="eastAsia" w:ascii="仿宋_GB2312" w:eastAsia="仿宋_GB2312"/>
              </w:rPr>
              <w:t>单位负责人：</w:t>
            </w:r>
          </w:p>
          <w:p>
            <w:pPr>
              <w:spacing w:line="300" w:lineRule="exact"/>
              <w:rPr>
                <w:rFonts w:ascii="仿宋_GB2312" w:eastAsia="仿宋_GB2312"/>
              </w:rPr>
            </w:pPr>
            <w:r>
              <w:rPr>
                <w:rFonts w:hint="eastAsia" w:ascii="仿宋_GB2312" w:eastAsia="仿宋_GB2312"/>
              </w:rPr>
              <w:t>资产管理机构负责人：</w:t>
            </w:r>
          </w:p>
          <w:p>
            <w:pPr>
              <w:spacing w:line="300" w:lineRule="exact"/>
              <w:rPr>
                <w:rFonts w:ascii="仿宋_GB2312" w:eastAsia="仿宋_GB2312"/>
              </w:rPr>
            </w:pPr>
            <w:r>
              <w:rPr>
                <w:rFonts w:hint="eastAsia" w:ascii="仿宋_GB2312" w:eastAsia="仿宋_GB2312"/>
              </w:rPr>
              <w:t>资产管理人员：</w:t>
            </w:r>
          </w:p>
          <w:p>
            <w:pPr>
              <w:spacing w:line="300" w:lineRule="exact"/>
              <w:ind w:firstLine="420" w:firstLineChars="200"/>
              <w:rPr>
                <w:rFonts w:ascii="仿宋_GB2312" w:eastAsia="仿宋_GB2312"/>
              </w:rPr>
            </w:pPr>
          </w:p>
          <w:p>
            <w:pPr>
              <w:spacing w:line="300" w:lineRule="exact"/>
              <w:ind w:firstLine="1995" w:firstLineChars="950"/>
              <w:rPr>
                <w:rFonts w:ascii="仿宋_GB2312" w:eastAsia="仿宋_GB2312"/>
              </w:rPr>
            </w:pPr>
            <w:r>
              <w:rPr>
                <w:rFonts w:hint="eastAsia" w:ascii="仿宋_GB2312" w:eastAsia="仿宋_GB2312"/>
              </w:rPr>
              <w:t xml:space="preserve">（单位公章）   </w:t>
            </w:r>
          </w:p>
          <w:p>
            <w:pPr>
              <w:spacing w:line="300" w:lineRule="exact"/>
              <w:ind w:firstLine="1890" w:firstLineChars="900"/>
              <w:rPr>
                <w:rFonts w:ascii="仿宋_GB2312" w:eastAsia="仿宋_GB2312"/>
              </w:rPr>
            </w:pPr>
            <w:r>
              <w:rPr>
                <w:rFonts w:hint="eastAsia" w:ascii="仿宋_GB2312" w:eastAsia="仿宋_GB2312"/>
              </w:rPr>
              <w:t xml:space="preserve">年    月    日  </w:t>
            </w:r>
          </w:p>
        </w:tc>
        <w:tc>
          <w:tcPr>
            <w:tcW w:w="3969" w:type="dxa"/>
            <w:gridSpan w:val="3"/>
            <w:tcBorders>
              <w:top w:val="single" w:color="000000" w:sz="4" w:space="0"/>
              <w:left w:val="single" w:color="000000" w:sz="4" w:space="0"/>
              <w:bottom w:val="single" w:color="000000" w:sz="4" w:space="0"/>
              <w:right w:val="single" w:color="000000" w:sz="4" w:space="0"/>
            </w:tcBorders>
          </w:tcPr>
          <w:p>
            <w:pPr>
              <w:spacing w:line="300" w:lineRule="exact"/>
              <w:rPr>
                <w:rFonts w:ascii="仿宋_GB2312" w:eastAsia="仿宋_GB2312"/>
              </w:rPr>
            </w:pPr>
            <w:r>
              <w:rPr>
                <w:rFonts w:hint="eastAsia" w:ascii="仿宋_GB2312" w:eastAsia="仿宋_GB2312"/>
              </w:rPr>
              <w:t>主管部门审核意见</w:t>
            </w:r>
          </w:p>
          <w:p>
            <w:pPr>
              <w:spacing w:line="300" w:lineRule="exact"/>
              <w:rPr>
                <w:rFonts w:ascii="仿宋_GB2312" w:eastAsia="仿宋_GB2312"/>
              </w:rPr>
            </w:pPr>
            <w:r>
              <w:rPr>
                <w:rFonts w:hint="eastAsia" w:ascii="仿宋_GB2312" w:eastAsia="仿宋_GB2312"/>
              </w:rPr>
              <w:t>单位负责人：</w:t>
            </w:r>
          </w:p>
          <w:p>
            <w:pPr>
              <w:spacing w:line="300" w:lineRule="exact"/>
              <w:rPr>
                <w:rFonts w:ascii="仿宋_GB2312" w:eastAsia="仿宋_GB2312"/>
              </w:rPr>
            </w:pPr>
            <w:r>
              <w:rPr>
                <w:rFonts w:hint="eastAsia" w:ascii="仿宋_GB2312" w:eastAsia="仿宋_GB2312"/>
              </w:rPr>
              <w:t>资产管理机构负责人：</w:t>
            </w:r>
          </w:p>
          <w:p>
            <w:pPr>
              <w:spacing w:line="300" w:lineRule="exact"/>
              <w:rPr>
                <w:rFonts w:ascii="仿宋_GB2312" w:eastAsia="仿宋_GB2312"/>
              </w:rPr>
            </w:pPr>
            <w:r>
              <w:rPr>
                <w:rFonts w:hint="eastAsia" w:ascii="仿宋_GB2312" w:eastAsia="仿宋_GB2312"/>
              </w:rPr>
              <w:t>资产管理人员：</w:t>
            </w:r>
          </w:p>
          <w:p>
            <w:pPr>
              <w:spacing w:line="300" w:lineRule="exact"/>
              <w:ind w:firstLine="420" w:firstLineChars="200"/>
              <w:rPr>
                <w:rFonts w:ascii="仿宋_GB2312" w:eastAsia="仿宋_GB2312"/>
              </w:rPr>
            </w:pPr>
          </w:p>
          <w:p>
            <w:pPr>
              <w:spacing w:line="300" w:lineRule="exact"/>
              <w:ind w:firstLine="1995" w:firstLineChars="950"/>
              <w:rPr>
                <w:rFonts w:ascii="仿宋_GB2312" w:eastAsia="仿宋_GB2312"/>
              </w:rPr>
            </w:pPr>
            <w:r>
              <w:rPr>
                <w:rFonts w:hint="eastAsia" w:ascii="仿宋_GB2312" w:eastAsia="仿宋_GB2312"/>
              </w:rPr>
              <w:t xml:space="preserve">（单位公章）   </w:t>
            </w:r>
          </w:p>
          <w:p>
            <w:pPr>
              <w:spacing w:line="300" w:lineRule="exact"/>
              <w:ind w:firstLine="1890" w:firstLineChars="900"/>
              <w:rPr>
                <w:rFonts w:ascii="仿宋_GB2312" w:eastAsia="仿宋_GB2312"/>
              </w:rPr>
            </w:pPr>
            <w:r>
              <w:rPr>
                <w:rFonts w:hint="eastAsia" w:ascii="仿宋_GB2312" w:eastAsia="仿宋_GB2312"/>
              </w:rPr>
              <w:t xml:space="preserve">年    月    日  </w:t>
            </w:r>
          </w:p>
        </w:tc>
        <w:tc>
          <w:tcPr>
            <w:tcW w:w="6379" w:type="dxa"/>
            <w:gridSpan w:val="3"/>
            <w:tcBorders>
              <w:top w:val="single" w:color="000000" w:sz="4" w:space="0"/>
              <w:left w:val="single" w:color="000000" w:sz="4" w:space="0"/>
              <w:bottom w:val="single" w:color="000000" w:sz="4" w:space="0"/>
              <w:right w:val="single" w:color="000000" w:sz="4" w:space="0"/>
            </w:tcBorders>
          </w:tcPr>
          <w:p>
            <w:pPr>
              <w:spacing w:line="300" w:lineRule="exact"/>
              <w:rPr>
                <w:rFonts w:ascii="仿宋_GB2312" w:eastAsia="仿宋_GB2312"/>
              </w:rPr>
            </w:pPr>
            <w:r>
              <w:rPr>
                <w:rFonts w:hint="eastAsia" w:ascii="仿宋_GB2312" w:eastAsia="仿宋_GB2312"/>
              </w:rPr>
              <w:t>财政部门（主管部门）审批意见：</w:t>
            </w:r>
          </w:p>
          <w:p>
            <w:pPr>
              <w:spacing w:line="300" w:lineRule="exact"/>
              <w:ind w:firstLine="420" w:firstLineChars="200"/>
              <w:rPr>
                <w:rFonts w:ascii="仿宋_GB2312" w:eastAsia="仿宋_GB2312"/>
              </w:rPr>
            </w:pPr>
          </w:p>
          <w:p>
            <w:pPr>
              <w:spacing w:line="300" w:lineRule="exact"/>
              <w:ind w:firstLine="420" w:firstLineChars="200"/>
              <w:rPr>
                <w:rFonts w:ascii="仿宋_GB2312" w:eastAsia="仿宋_GB2312"/>
              </w:rPr>
            </w:pPr>
            <w:r>
              <w:rPr>
                <w:rFonts w:hint="eastAsia" w:ascii="仿宋_GB2312" w:eastAsia="仿宋_GB2312"/>
              </w:rPr>
              <w:t>资产报废残值收入，全额上缴区级财政国库，纳入财政预算管理。</w:t>
            </w:r>
          </w:p>
          <w:p>
            <w:pPr>
              <w:spacing w:line="300" w:lineRule="exact"/>
              <w:rPr>
                <w:rFonts w:ascii="仿宋_GB2312" w:eastAsia="仿宋_GB2312"/>
              </w:rPr>
            </w:pPr>
          </w:p>
          <w:p>
            <w:pPr>
              <w:spacing w:line="300" w:lineRule="exact"/>
              <w:ind w:firstLine="4410" w:firstLineChars="2100"/>
              <w:rPr>
                <w:rFonts w:ascii="仿宋_GB2312" w:eastAsia="仿宋_GB2312"/>
              </w:rPr>
            </w:pPr>
            <w:r>
              <w:rPr>
                <w:rFonts w:hint="eastAsia" w:ascii="仿宋_GB2312" w:eastAsia="仿宋_GB2312"/>
              </w:rPr>
              <w:t xml:space="preserve">（盖章）   </w:t>
            </w:r>
          </w:p>
          <w:p>
            <w:pPr>
              <w:spacing w:line="300" w:lineRule="exact"/>
              <w:ind w:firstLine="4200" w:firstLineChars="2000"/>
              <w:rPr>
                <w:rFonts w:ascii="仿宋_GB2312" w:eastAsia="仿宋_GB2312"/>
              </w:rPr>
            </w:pPr>
            <w:r>
              <w:rPr>
                <w:rFonts w:hint="eastAsia" w:ascii="仿宋_GB2312" w:eastAsia="仿宋_GB2312"/>
              </w:rPr>
              <w:t xml:space="preserve">年   月   日  </w:t>
            </w:r>
          </w:p>
        </w:tc>
      </w:tr>
    </w:tbl>
    <w:p>
      <w:pPr>
        <w:spacing w:line="360" w:lineRule="exact"/>
        <w:ind w:firstLine="315" w:firstLineChars="150"/>
        <w:rPr>
          <w:rFonts w:ascii="仿宋_GB2312" w:eastAsia="仿宋_GB2312"/>
        </w:rPr>
      </w:pPr>
      <w:r>
        <w:rPr>
          <w:rFonts w:hint="eastAsia" w:ascii="仿宋_GB2312" w:eastAsia="仿宋_GB2312"/>
        </w:rPr>
        <w:t>说明：1．本表一式三联，其中财政部门留存一联、主管部门留存一联、申报单位留作记账凭证一联。</w:t>
      </w:r>
    </w:p>
    <w:p>
      <w:pPr>
        <w:spacing w:line="360" w:lineRule="exact"/>
        <w:ind w:firstLine="945" w:firstLineChars="450"/>
        <w:rPr>
          <w:rFonts w:ascii="仿宋_GB2312" w:eastAsia="仿宋_GB2312"/>
        </w:rPr>
      </w:pPr>
      <w:r>
        <w:rPr>
          <w:rFonts w:hint="eastAsia" w:ascii="仿宋_GB2312" w:eastAsia="仿宋_GB2312"/>
        </w:rPr>
        <w:t>2．单位申请资产报废，需同时附报《历下区区级行政事业国有资产处置管理办法》规定的申办材料。</w:t>
      </w:r>
    </w:p>
    <w:p>
      <w:pPr>
        <w:tabs>
          <w:tab w:val="left" w:pos="7920"/>
          <w:tab w:val="left" w:pos="8460"/>
        </w:tabs>
        <w:snapToGrid w:val="0"/>
        <w:spacing w:after="156" w:afterLines="50" w:line="560" w:lineRule="exact"/>
        <w:rPr>
          <w:rFonts w:ascii="仿宋_GB2312" w:eastAsia="仿宋_GB2312" w:cs="仿宋_GB2312"/>
          <w:sz w:val="28"/>
          <w:szCs w:val="28"/>
        </w:rPr>
        <w:sectPr>
          <w:pgSz w:w="16838" w:h="11906" w:orient="landscape"/>
          <w:pgMar w:top="851" w:right="2098" w:bottom="851" w:left="2098" w:header="851" w:footer="1644" w:gutter="0"/>
          <w:pgNumType w:fmt="numberInDash"/>
          <w:cols w:space="425" w:num="1"/>
          <w:docGrid w:type="lines" w:linePitch="312" w:charSpace="0"/>
        </w:sectPr>
      </w:pPr>
    </w:p>
    <w:p>
      <w:pPr>
        <w:tabs>
          <w:tab w:val="left" w:pos="7920"/>
          <w:tab w:val="left" w:pos="8460"/>
        </w:tabs>
        <w:snapToGrid w:val="0"/>
        <w:spacing w:after="156" w:afterLines="50" w:line="560" w:lineRule="exact"/>
        <w:rPr>
          <w:rFonts w:ascii="仿宋_GB2312" w:eastAsia="仿宋_GB2312" w:cs="仿宋_GB2312"/>
          <w:sz w:val="28"/>
          <w:szCs w:val="28"/>
        </w:rPr>
      </w:pPr>
    </w:p>
    <w:p>
      <w:pPr>
        <w:tabs>
          <w:tab w:val="left" w:pos="7920"/>
          <w:tab w:val="left" w:pos="8460"/>
        </w:tabs>
        <w:snapToGrid w:val="0"/>
        <w:spacing w:after="156" w:afterLines="50" w:line="560" w:lineRule="exact"/>
        <w:ind w:firstLine="280" w:firstLineChars="100"/>
        <w:rPr>
          <w:rFonts w:ascii="仿宋_GB2312" w:eastAsia="仿宋_GB2312" w:cs="仿宋_GB2312"/>
          <w:sz w:val="28"/>
          <w:szCs w:val="28"/>
        </w:rPr>
      </w:pPr>
    </w:p>
    <w:p>
      <w:pPr>
        <w:tabs>
          <w:tab w:val="left" w:pos="7920"/>
          <w:tab w:val="left" w:pos="8460"/>
        </w:tabs>
        <w:snapToGrid w:val="0"/>
        <w:spacing w:after="156" w:afterLines="50" w:line="560" w:lineRule="exact"/>
        <w:ind w:firstLine="280" w:firstLineChars="100"/>
        <w:rPr>
          <w:rFonts w:ascii="仿宋_GB2312" w:eastAsia="仿宋_GB2312" w:cs="仿宋_GB2312"/>
          <w:sz w:val="28"/>
          <w:szCs w:val="28"/>
        </w:rPr>
      </w:pPr>
    </w:p>
    <w:p>
      <w:pPr>
        <w:tabs>
          <w:tab w:val="left" w:pos="7920"/>
          <w:tab w:val="left" w:pos="8460"/>
        </w:tabs>
        <w:snapToGrid w:val="0"/>
        <w:spacing w:after="156" w:afterLines="50" w:line="560" w:lineRule="exact"/>
        <w:ind w:firstLine="280" w:firstLineChars="100"/>
        <w:rPr>
          <w:rFonts w:ascii="仿宋_GB2312" w:eastAsia="仿宋_GB2312" w:cs="仿宋_GB2312"/>
          <w:sz w:val="28"/>
          <w:szCs w:val="28"/>
        </w:rPr>
      </w:pPr>
    </w:p>
    <w:p>
      <w:pPr>
        <w:tabs>
          <w:tab w:val="left" w:pos="7920"/>
          <w:tab w:val="left" w:pos="8460"/>
        </w:tabs>
        <w:snapToGrid w:val="0"/>
        <w:spacing w:after="156" w:afterLines="50" w:line="560" w:lineRule="exact"/>
        <w:ind w:firstLine="280" w:firstLineChars="100"/>
        <w:rPr>
          <w:rFonts w:ascii="仿宋_GB2312" w:eastAsia="仿宋_GB2312" w:cs="仿宋_GB2312"/>
          <w:sz w:val="28"/>
          <w:szCs w:val="28"/>
        </w:rPr>
      </w:pPr>
    </w:p>
    <w:p>
      <w:pPr>
        <w:tabs>
          <w:tab w:val="left" w:pos="7920"/>
          <w:tab w:val="left" w:pos="8460"/>
        </w:tabs>
        <w:snapToGrid w:val="0"/>
        <w:spacing w:after="156" w:afterLines="50" w:line="560" w:lineRule="exact"/>
        <w:ind w:firstLine="280" w:firstLineChars="100"/>
        <w:rPr>
          <w:rFonts w:ascii="仿宋_GB2312" w:eastAsia="仿宋_GB2312" w:cs="仿宋_GB2312"/>
          <w:sz w:val="28"/>
          <w:szCs w:val="28"/>
        </w:rPr>
      </w:pPr>
    </w:p>
    <w:p>
      <w:pPr>
        <w:tabs>
          <w:tab w:val="left" w:pos="7920"/>
          <w:tab w:val="left" w:pos="8460"/>
        </w:tabs>
        <w:snapToGrid w:val="0"/>
        <w:spacing w:after="156" w:afterLines="50" w:line="560" w:lineRule="exact"/>
        <w:ind w:firstLine="280" w:firstLineChars="100"/>
        <w:rPr>
          <w:rFonts w:ascii="仿宋_GB2312" w:eastAsia="仿宋_GB2312" w:cs="仿宋_GB2312"/>
          <w:sz w:val="28"/>
          <w:szCs w:val="28"/>
        </w:rPr>
      </w:pPr>
    </w:p>
    <w:p>
      <w:pPr>
        <w:tabs>
          <w:tab w:val="left" w:pos="7920"/>
          <w:tab w:val="left" w:pos="8460"/>
        </w:tabs>
        <w:snapToGrid w:val="0"/>
        <w:spacing w:after="156" w:afterLines="50" w:line="560" w:lineRule="exact"/>
        <w:ind w:firstLine="280" w:firstLineChars="100"/>
        <w:rPr>
          <w:rFonts w:ascii="仿宋_GB2312" w:eastAsia="仿宋_GB2312" w:cs="仿宋_GB2312"/>
          <w:sz w:val="28"/>
          <w:szCs w:val="28"/>
        </w:rPr>
      </w:pPr>
    </w:p>
    <w:p>
      <w:pPr>
        <w:tabs>
          <w:tab w:val="left" w:pos="7920"/>
          <w:tab w:val="left" w:pos="8460"/>
        </w:tabs>
        <w:snapToGrid w:val="0"/>
        <w:spacing w:after="156" w:afterLines="50" w:line="560" w:lineRule="exact"/>
        <w:ind w:firstLine="280" w:firstLineChars="100"/>
        <w:rPr>
          <w:rFonts w:ascii="仿宋_GB2312" w:eastAsia="仿宋_GB2312" w:cs="仿宋_GB2312"/>
          <w:sz w:val="28"/>
          <w:szCs w:val="28"/>
        </w:rPr>
      </w:pPr>
    </w:p>
    <w:p>
      <w:pPr>
        <w:tabs>
          <w:tab w:val="left" w:pos="7920"/>
          <w:tab w:val="left" w:pos="8460"/>
        </w:tabs>
        <w:snapToGrid w:val="0"/>
        <w:spacing w:after="156" w:afterLines="50" w:line="560" w:lineRule="exact"/>
        <w:ind w:firstLine="280" w:firstLineChars="100"/>
        <w:rPr>
          <w:rFonts w:ascii="仿宋_GB2312" w:eastAsia="仿宋_GB2312" w:cs="仿宋_GB2312"/>
          <w:sz w:val="28"/>
          <w:szCs w:val="28"/>
        </w:rPr>
      </w:pPr>
    </w:p>
    <w:p>
      <w:pPr>
        <w:tabs>
          <w:tab w:val="left" w:pos="7920"/>
          <w:tab w:val="left" w:pos="8460"/>
        </w:tabs>
        <w:snapToGrid w:val="0"/>
        <w:spacing w:after="156" w:afterLines="50" w:line="560" w:lineRule="exact"/>
        <w:ind w:firstLine="280" w:firstLineChars="100"/>
        <w:rPr>
          <w:rFonts w:ascii="仿宋_GB2312" w:eastAsia="仿宋_GB2312" w:cs="仿宋_GB2312"/>
          <w:sz w:val="28"/>
          <w:szCs w:val="28"/>
        </w:rPr>
      </w:pPr>
    </w:p>
    <w:p>
      <w:pPr>
        <w:tabs>
          <w:tab w:val="left" w:pos="7920"/>
          <w:tab w:val="left" w:pos="8460"/>
        </w:tabs>
        <w:snapToGrid w:val="0"/>
        <w:spacing w:after="156" w:afterLines="50" w:line="560" w:lineRule="exact"/>
        <w:ind w:firstLine="280" w:firstLineChars="100"/>
        <w:rPr>
          <w:rFonts w:ascii="仿宋_GB2312" w:eastAsia="仿宋_GB2312" w:cs="仿宋_GB2312"/>
          <w:sz w:val="28"/>
          <w:szCs w:val="28"/>
        </w:rPr>
      </w:pPr>
    </w:p>
    <w:p>
      <w:pPr>
        <w:tabs>
          <w:tab w:val="left" w:pos="7920"/>
          <w:tab w:val="left" w:pos="8460"/>
        </w:tabs>
        <w:snapToGrid w:val="0"/>
        <w:spacing w:after="156" w:afterLines="50" w:line="560" w:lineRule="exact"/>
        <w:ind w:firstLine="280" w:firstLineChars="100"/>
        <w:rPr>
          <w:rFonts w:ascii="仿宋_GB2312" w:eastAsia="仿宋_GB2312" w:cs="仿宋_GB2312"/>
          <w:sz w:val="28"/>
          <w:szCs w:val="28"/>
        </w:rPr>
      </w:pPr>
    </w:p>
    <w:p>
      <w:pPr>
        <w:tabs>
          <w:tab w:val="left" w:pos="7920"/>
          <w:tab w:val="left" w:pos="8460"/>
        </w:tabs>
        <w:snapToGrid w:val="0"/>
        <w:spacing w:after="156" w:afterLines="50" w:line="560" w:lineRule="exact"/>
        <w:ind w:firstLine="280" w:firstLineChars="100"/>
        <w:rPr>
          <w:rFonts w:ascii="仿宋_GB2312" w:eastAsia="仿宋_GB2312" w:cs="仿宋_GB2312"/>
          <w:sz w:val="28"/>
          <w:szCs w:val="28"/>
        </w:rPr>
      </w:pPr>
    </w:p>
    <w:p>
      <w:pPr>
        <w:tabs>
          <w:tab w:val="left" w:pos="7920"/>
          <w:tab w:val="left" w:pos="8460"/>
        </w:tabs>
        <w:snapToGrid w:val="0"/>
        <w:spacing w:after="156" w:afterLines="50" w:line="560" w:lineRule="exact"/>
        <w:ind w:firstLine="280" w:firstLineChars="100"/>
        <w:rPr>
          <w:rFonts w:ascii="仿宋_GB2312" w:eastAsia="仿宋_GB2312" w:cs="仿宋_GB2312"/>
          <w:sz w:val="28"/>
          <w:szCs w:val="28"/>
        </w:rPr>
      </w:pPr>
    </w:p>
    <w:p>
      <w:pPr>
        <w:tabs>
          <w:tab w:val="left" w:pos="7920"/>
          <w:tab w:val="left" w:pos="8460"/>
        </w:tabs>
        <w:snapToGrid w:val="0"/>
        <w:spacing w:after="156" w:afterLines="50" w:line="560" w:lineRule="exact"/>
        <w:ind w:firstLine="280" w:firstLineChars="100"/>
        <w:rPr>
          <w:rFonts w:ascii="仿宋_GB2312" w:eastAsia="仿宋_GB2312" w:cs="仿宋_GB2312"/>
          <w:sz w:val="28"/>
          <w:szCs w:val="28"/>
        </w:rPr>
      </w:pPr>
    </w:p>
    <w:p>
      <w:pPr>
        <w:tabs>
          <w:tab w:val="left" w:pos="7920"/>
          <w:tab w:val="left" w:pos="8460"/>
        </w:tabs>
        <w:snapToGrid w:val="0"/>
        <w:spacing w:line="560" w:lineRule="exact"/>
        <w:ind w:firstLine="210" w:firstLineChars="100"/>
        <w:rPr>
          <w:rFonts w:ascii="仿宋" w:hAnsi="仿宋" w:eastAsia="仿宋"/>
          <w:sz w:val="32"/>
          <w:szCs w:val="32"/>
        </w:rPr>
      </w:pPr>
      <w:r>
        <w:rPr>
          <w:rFonts w:ascii="Calibri" w:hAnsi="Calibri"/>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33020</wp:posOffset>
                </wp:positionV>
                <wp:extent cx="5536565" cy="0"/>
                <wp:effectExtent l="0" t="0" r="0" b="0"/>
                <wp:wrapNone/>
                <wp:docPr id="1" name="直线 3"/>
                <wp:cNvGraphicFramePr/>
                <a:graphic xmlns:a="http://schemas.openxmlformats.org/drawingml/2006/main">
                  <a:graphicData uri="http://schemas.microsoft.com/office/word/2010/wordprocessingShape">
                    <wps:wsp>
                      <wps:cNvSpPr/>
                      <wps:spPr>
                        <a:xfrm>
                          <a:off x="0" y="0"/>
                          <a:ext cx="553656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3" o:spid="_x0000_s1026" o:spt="20" style="position:absolute;left:0pt;margin-left:0pt;margin-top:2.6pt;height:0pt;width:435.95pt;z-index:251659264;mso-width-relative:page;mso-height-relative:page;" filled="f" stroked="t" coordsize="21600,21600" o:gfxdata="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DxVuC9IAAAAEAQAA&#10;DwAAAAAAAAABACAAAAAiAAAAZHJzL2Rvd25yZXYueG1sUEsBAhQAFAAAAAgAh07iQBxnqeTmAQAA&#10;2wMAAA4AAAAAAAAAAQAgAAAAIQEAAGRycy9lMm9Eb2MueG1sUEsFBgAAAAAGAAYAWQEAAHkFAAAA&#10;AA==&#10;">
                <v:fill on="f" focussize="0,0"/>
                <v:stroke color="#000000" joinstyle="round"/>
                <v:imagedata o:title=""/>
                <o:lock v:ext="edit" aspectratio="f"/>
              </v:line>
            </w:pict>
          </mc:Fallback>
        </mc:AlternateContent>
      </w:r>
      <w:r>
        <w:rPr>
          <w:rFonts w:ascii="Calibri" w:hAnsi="Calibri"/>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431800</wp:posOffset>
                </wp:positionV>
                <wp:extent cx="5536565" cy="0"/>
                <wp:effectExtent l="0" t="0" r="0" b="0"/>
                <wp:wrapNone/>
                <wp:docPr id="2" name="直线 2"/>
                <wp:cNvGraphicFramePr/>
                <a:graphic xmlns:a="http://schemas.openxmlformats.org/drawingml/2006/main">
                  <a:graphicData uri="http://schemas.microsoft.com/office/word/2010/wordprocessingShape">
                    <wps:wsp>
                      <wps:cNvSpPr/>
                      <wps:spPr>
                        <a:xfrm>
                          <a:off x="0" y="0"/>
                          <a:ext cx="553656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 o:spid="_x0000_s1026" o:spt="20" style="position:absolute;left:0pt;margin-left:0pt;margin-top:34pt;height:0pt;width:435.95pt;z-index:251660288;mso-width-relative:page;mso-height-relative:page;" filled="f" stroked="t" coordsize="21600,21600" o:gfxdata="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fxhl1AAAAAYB&#10;AAAPAAAAAAAAAAEAIAAAACIAAABkcnMvZG93bnJldi54bWxQSwECFAAUAAAACACHTuJA+45Ad+YB&#10;AADbAwAADgAAAAAAAAABACAAAAAjAQAAZHJzL2Uyb0RvYy54bWxQSwUGAAAAAAYABgBZAQAAewUA&#10;AAAA&#10;">
                <v:fill on="f" focussize="0,0"/>
                <v:stroke color="#000000" joinstyle="round"/>
                <v:imagedata o:title=""/>
                <o:lock v:ext="edit" aspectratio="f"/>
              </v:line>
            </w:pict>
          </mc:Fallback>
        </mc:AlternateContent>
      </w:r>
      <w:r>
        <w:rPr>
          <w:rFonts w:hint="eastAsia" w:ascii="仿宋_GB2312" w:eastAsia="仿宋_GB2312" w:cs="仿宋_GB2312"/>
          <w:sz w:val="28"/>
          <w:szCs w:val="28"/>
        </w:rPr>
        <w:t>济南市历下区人民政府办公室</w:t>
      </w:r>
      <w:r>
        <w:rPr>
          <w:rFonts w:ascii="仿宋_GB2312" w:eastAsia="仿宋_GB2312" w:cs="仿宋_GB2312"/>
          <w:sz w:val="28"/>
          <w:szCs w:val="28"/>
        </w:rPr>
        <w:t xml:space="preserve">        </w:t>
      </w:r>
      <w:r>
        <w:rPr>
          <w:rFonts w:hint="eastAsia" w:ascii="仿宋_GB2312" w:eastAsia="仿宋_GB2312" w:cs="仿宋_GB2312"/>
          <w:sz w:val="28"/>
          <w:szCs w:val="28"/>
        </w:rPr>
        <w:t xml:space="preserve"> </w:t>
      </w:r>
      <w:r>
        <w:rPr>
          <w:rFonts w:ascii="仿宋_GB2312" w:eastAsia="仿宋_GB2312" w:cs="仿宋_GB2312"/>
          <w:sz w:val="28"/>
          <w:szCs w:val="28"/>
        </w:rPr>
        <w:t xml:space="preserve">  </w:t>
      </w:r>
      <w:r>
        <w:rPr>
          <w:rFonts w:hint="eastAsia" w:ascii="仿宋_GB2312" w:eastAsia="仿宋_GB2312" w:cs="仿宋_GB2312"/>
          <w:sz w:val="28"/>
          <w:szCs w:val="28"/>
        </w:rPr>
        <w:t xml:space="preserve"> </w:t>
      </w:r>
      <w:r>
        <w:rPr>
          <w:rFonts w:ascii="仿宋_GB2312" w:eastAsia="仿宋_GB2312" w:cs="仿宋_GB2312"/>
          <w:sz w:val="28"/>
          <w:szCs w:val="28"/>
        </w:rPr>
        <w:t xml:space="preserve"> 20</w:t>
      </w:r>
      <w:r>
        <w:rPr>
          <w:rFonts w:hint="eastAsia" w:ascii="仿宋_GB2312" w:eastAsia="仿宋_GB2312" w:cs="仿宋_GB2312"/>
          <w:sz w:val="28"/>
          <w:szCs w:val="28"/>
        </w:rPr>
        <w:t>23年2月24日印发</w:t>
      </w:r>
    </w:p>
    <w:sectPr>
      <w:footerReference r:id="rId7" w:type="default"/>
      <w:pgSz w:w="11906" w:h="16838"/>
      <w:pgMar w:top="2098" w:right="1588" w:bottom="2098" w:left="1588" w:header="851" w:footer="164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lt;p&gt;">
    <w:altName w:val="Times New Roman"/>
    <w:panose1 w:val="00000000000000000000"/>
    <w:charset w:val="00"/>
    <w:family w:val="roman"/>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简体">
    <w:panose1 w:val="02010601030101010101"/>
    <w:charset w:val="86"/>
    <w:family w:val="script"/>
    <w:pitch w:val="default"/>
    <w:sig w:usb0="00000001" w:usb1="080E0000" w:usb2="0000000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84716842"/>
      <w:docPartObj>
        <w:docPartGallery w:val="AutoText"/>
      </w:docPartObj>
    </w:sdtPr>
    <w:sdtEndPr>
      <w:rPr>
        <w:rFonts w:asciiTheme="minorEastAsia" w:hAnsiTheme="minorEastAsia"/>
        <w:sz w:val="28"/>
        <w:szCs w:val="28"/>
      </w:rPr>
    </w:sdtEndPr>
    <w:sdtContent>
      <w:p>
        <w:pPr>
          <w:pStyle w:val="4"/>
          <w:ind w:right="180"/>
          <w:jc w:val="righ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3 -</w:t>
        </w:r>
        <w:r>
          <w:rPr>
            <w:rFonts w:asciiTheme="minorEastAsia" w:hAnsiTheme="minorEastAsia"/>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65291659"/>
      <w:docPartObj>
        <w:docPartGallery w:val="AutoText"/>
      </w:docPartObj>
    </w:sdtPr>
    <w:sdtEndPr>
      <w:rPr>
        <w:rFonts w:asciiTheme="minorEastAsia" w:hAnsiTheme="minorEastAsia"/>
        <w:sz w:val="28"/>
        <w:szCs w:val="28"/>
      </w:rPr>
    </w:sdtEndPr>
    <w:sdtContent>
      <w:p>
        <w:pPr>
          <w:pStyle w:val="4"/>
          <w:ind w:firstLine="180" w:firstLineChars="100"/>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4 -</w:t>
        </w:r>
        <w:r>
          <w:rPr>
            <w:rFonts w:asciiTheme="minorEastAsia" w:hAnsiTheme="minorEastAsia"/>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65324886"/>
      <w:docPartObj>
        <w:docPartGallery w:val="AutoText"/>
      </w:docPartObj>
    </w:sdtPr>
    <w:sdtEndPr>
      <w:rPr>
        <w:rFonts w:asciiTheme="minorEastAsia" w:hAnsiTheme="minorEastAsia"/>
        <w:sz w:val="28"/>
        <w:szCs w:val="28"/>
      </w:rPr>
    </w:sdtEndPr>
    <w:sdtContent>
      <w:p>
        <w:pPr>
          <w:pStyle w:val="4"/>
          <w:ind w:right="180"/>
          <w:jc w:val="righ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21 -</w:t>
        </w:r>
        <w:r>
          <w:rPr>
            <w:rFonts w:asciiTheme="minorEastAsia" w:hAnsiTheme="minorEastAsia"/>
            <w:sz w:val="28"/>
            <w:szCs w:val="28"/>
          </w:rP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74857509"/>
      <w:docPartObj>
        <w:docPartGallery w:val="AutoText"/>
      </w:docPartObj>
    </w:sdtPr>
    <w:sdtEndPr>
      <w:rPr>
        <w:rFonts w:asciiTheme="minorEastAsia" w:hAnsiTheme="minorEastAsia"/>
        <w:sz w:val="28"/>
        <w:szCs w:val="28"/>
      </w:rPr>
    </w:sdtEndPr>
    <w:sdtContent>
      <w:p>
        <w:pPr>
          <w:pStyle w:val="4"/>
          <w:ind w:firstLine="180" w:firstLineChars="100"/>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22 -</w:t>
        </w:r>
        <w:r>
          <w:rPr>
            <w:rFonts w:asciiTheme="minorEastAsia" w:hAnsiTheme="minorEastAsia"/>
            <w:sz w:val="28"/>
            <w:szCs w:val="28"/>
          </w:rP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180"/>
      <w:jc w:val="right"/>
      <w:rPr>
        <w:rFonts w:asciiTheme="minorEastAsia" w:hAnsiTheme="minorEastAsia"/>
        <w:sz w:val="28"/>
        <w:szCs w:val="28"/>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8CA4DBE"/>
    <w:multiLevelType w:val="multilevel"/>
    <w:tmpl w:val="68CA4DBE"/>
    <w:lvl w:ilvl="0" w:tentative="0">
      <w:start w:val="1"/>
      <w:numFmt w:val="japaneseCounting"/>
      <w:lvlText w:val="（%1）"/>
      <w:lvlJc w:val="left"/>
      <w:pPr>
        <w:ind w:left="1720" w:hanging="108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0BF7"/>
    <w:rsid w:val="00000166"/>
    <w:rsid w:val="00003503"/>
    <w:rsid w:val="000128C4"/>
    <w:rsid w:val="00051021"/>
    <w:rsid w:val="00051393"/>
    <w:rsid w:val="00055222"/>
    <w:rsid w:val="00061B33"/>
    <w:rsid w:val="000809C3"/>
    <w:rsid w:val="0008283B"/>
    <w:rsid w:val="000C411C"/>
    <w:rsid w:val="000C63C1"/>
    <w:rsid w:val="000D42B4"/>
    <w:rsid w:val="000F1FB8"/>
    <w:rsid w:val="000F316B"/>
    <w:rsid w:val="000F666A"/>
    <w:rsid w:val="0012093F"/>
    <w:rsid w:val="0012343A"/>
    <w:rsid w:val="001238A9"/>
    <w:rsid w:val="001302BA"/>
    <w:rsid w:val="00132807"/>
    <w:rsid w:val="001332D7"/>
    <w:rsid w:val="001456A3"/>
    <w:rsid w:val="001469E1"/>
    <w:rsid w:val="00152214"/>
    <w:rsid w:val="00153609"/>
    <w:rsid w:val="00170339"/>
    <w:rsid w:val="00176B52"/>
    <w:rsid w:val="00183EBF"/>
    <w:rsid w:val="00185B41"/>
    <w:rsid w:val="001A5FAE"/>
    <w:rsid w:val="001D6B1C"/>
    <w:rsid w:val="001E5C9B"/>
    <w:rsid w:val="001E6C6C"/>
    <w:rsid w:val="001F1209"/>
    <w:rsid w:val="002001B5"/>
    <w:rsid w:val="002105FD"/>
    <w:rsid w:val="00217F76"/>
    <w:rsid w:val="00221B59"/>
    <w:rsid w:val="00223F4C"/>
    <w:rsid w:val="0023583C"/>
    <w:rsid w:val="00254C4C"/>
    <w:rsid w:val="00271B3C"/>
    <w:rsid w:val="00292251"/>
    <w:rsid w:val="002A10BB"/>
    <w:rsid w:val="002A21B8"/>
    <w:rsid w:val="002A7735"/>
    <w:rsid w:val="002B0BF7"/>
    <w:rsid w:val="002B0F1A"/>
    <w:rsid w:val="002B4BD6"/>
    <w:rsid w:val="002B4FE9"/>
    <w:rsid w:val="002B6E78"/>
    <w:rsid w:val="002B78AE"/>
    <w:rsid w:val="002C6900"/>
    <w:rsid w:val="002D2218"/>
    <w:rsid w:val="002E5826"/>
    <w:rsid w:val="002F7D12"/>
    <w:rsid w:val="00301508"/>
    <w:rsid w:val="0033514E"/>
    <w:rsid w:val="00336482"/>
    <w:rsid w:val="003529F0"/>
    <w:rsid w:val="00361831"/>
    <w:rsid w:val="003634B0"/>
    <w:rsid w:val="00364787"/>
    <w:rsid w:val="0036763F"/>
    <w:rsid w:val="00367F69"/>
    <w:rsid w:val="00370710"/>
    <w:rsid w:val="00387701"/>
    <w:rsid w:val="00390FB2"/>
    <w:rsid w:val="0039426D"/>
    <w:rsid w:val="003A48ED"/>
    <w:rsid w:val="003A4959"/>
    <w:rsid w:val="003A5540"/>
    <w:rsid w:val="003B0259"/>
    <w:rsid w:val="003B7CA2"/>
    <w:rsid w:val="003C6CEB"/>
    <w:rsid w:val="003D2752"/>
    <w:rsid w:val="003F13BE"/>
    <w:rsid w:val="00417FB0"/>
    <w:rsid w:val="00420C2F"/>
    <w:rsid w:val="00420C71"/>
    <w:rsid w:val="00430551"/>
    <w:rsid w:val="00437350"/>
    <w:rsid w:val="004439F4"/>
    <w:rsid w:val="00453E56"/>
    <w:rsid w:val="0045430E"/>
    <w:rsid w:val="004631FC"/>
    <w:rsid w:val="00472AA8"/>
    <w:rsid w:val="00476742"/>
    <w:rsid w:val="00481C57"/>
    <w:rsid w:val="0048503F"/>
    <w:rsid w:val="004A2078"/>
    <w:rsid w:val="004A28A0"/>
    <w:rsid w:val="004C03F4"/>
    <w:rsid w:val="004C069E"/>
    <w:rsid w:val="004C6040"/>
    <w:rsid w:val="004E2E06"/>
    <w:rsid w:val="004F2110"/>
    <w:rsid w:val="0053144E"/>
    <w:rsid w:val="00533D6B"/>
    <w:rsid w:val="00535BF1"/>
    <w:rsid w:val="00544576"/>
    <w:rsid w:val="00553113"/>
    <w:rsid w:val="00562EDB"/>
    <w:rsid w:val="00564754"/>
    <w:rsid w:val="00573F1D"/>
    <w:rsid w:val="00575DB9"/>
    <w:rsid w:val="00577A9A"/>
    <w:rsid w:val="005824E1"/>
    <w:rsid w:val="005910BB"/>
    <w:rsid w:val="005A204B"/>
    <w:rsid w:val="005A78EF"/>
    <w:rsid w:val="005B38C7"/>
    <w:rsid w:val="005B6B36"/>
    <w:rsid w:val="005C1C0F"/>
    <w:rsid w:val="005F314A"/>
    <w:rsid w:val="00617A81"/>
    <w:rsid w:val="0062053A"/>
    <w:rsid w:val="006255AC"/>
    <w:rsid w:val="00634121"/>
    <w:rsid w:val="00634EEF"/>
    <w:rsid w:val="00643B2E"/>
    <w:rsid w:val="00653B48"/>
    <w:rsid w:val="0066639A"/>
    <w:rsid w:val="006803E1"/>
    <w:rsid w:val="00685140"/>
    <w:rsid w:val="006A72F4"/>
    <w:rsid w:val="006A762A"/>
    <w:rsid w:val="006B7B79"/>
    <w:rsid w:val="006C2C89"/>
    <w:rsid w:val="006C5C2B"/>
    <w:rsid w:val="006D0EDB"/>
    <w:rsid w:val="006D5A95"/>
    <w:rsid w:val="006D6B90"/>
    <w:rsid w:val="006E1F19"/>
    <w:rsid w:val="006F5EC0"/>
    <w:rsid w:val="006F7B64"/>
    <w:rsid w:val="00701906"/>
    <w:rsid w:val="00714451"/>
    <w:rsid w:val="00714969"/>
    <w:rsid w:val="00717381"/>
    <w:rsid w:val="0073041E"/>
    <w:rsid w:val="007432EA"/>
    <w:rsid w:val="007525DD"/>
    <w:rsid w:val="0075587F"/>
    <w:rsid w:val="007606D5"/>
    <w:rsid w:val="0076305C"/>
    <w:rsid w:val="00763EC9"/>
    <w:rsid w:val="007804D9"/>
    <w:rsid w:val="00781C02"/>
    <w:rsid w:val="00787BA3"/>
    <w:rsid w:val="0079304A"/>
    <w:rsid w:val="0079312A"/>
    <w:rsid w:val="007A572A"/>
    <w:rsid w:val="007B648F"/>
    <w:rsid w:val="007C37FC"/>
    <w:rsid w:val="007E3597"/>
    <w:rsid w:val="007F28A5"/>
    <w:rsid w:val="00803D5A"/>
    <w:rsid w:val="00814E13"/>
    <w:rsid w:val="00817B02"/>
    <w:rsid w:val="00821CB2"/>
    <w:rsid w:val="00837B29"/>
    <w:rsid w:val="0085014A"/>
    <w:rsid w:val="00852A1D"/>
    <w:rsid w:val="00872831"/>
    <w:rsid w:val="00876C44"/>
    <w:rsid w:val="00885F88"/>
    <w:rsid w:val="008907D8"/>
    <w:rsid w:val="00895EB5"/>
    <w:rsid w:val="008A31CD"/>
    <w:rsid w:val="008B4531"/>
    <w:rsid w:val="008B78B2"/>
    <w:rsid w:val="008C0046"/>
    <w:rsid w:val="008C0E55"/>
    <w:rsid w:val="008C1263"/>
    <w:rsid w:val="008C5C27"/>
    <w:rsid w:val="008D037C"/>
    <w:rsid w:val="008D2389"/>
    <w:rsid w:val="008F7F3B"/>
    <w:rsid w:val="00907E80"/>
    <w:rsid w:val="00911E48"/>
    <w:rsid w:val="0091607D"/>
    <w:rsid w:val="0092015A"/>
    <w:rsid w:val="009211DE"/>
    <w:rsid w:val="00930F85"/>
    <w:rsid w:val="00934A0D"/>
    <w:rsid w:val="00936501"/>
    <w:rsid w:val="009378B3"/>
    <w:rsid w:val="0094140F"/>
    <w:rsid w:val="00953F10"/>
    <w:rsid w:val="0095716A"/>
    <w:rsid w:val="009618CB"/>
    <w:rsid w:val="009663D6"/>
    <w:rsid w:val="0097102A"/>
    <w:rsid w:val="00975D30"/>
    <w:rsid w:val="0098008F"/>
    <w:rsid w:val="00980FD5"/>
    <w:rsid w:val="009A1812"/>
    <w:rsid w:val="009A5D84"/>
    <w:rsid w:val="009A6818"/>
    <w:rsid w:val="009C091D"/>
    <w:rsid w:val="009C0AA0"/>
    <w:rsid w:val="009D157B"/>
    <w:rsid w:val="009D1DD2"/>
    <w:rsid w:val="009F30A4"/>
    <w:rsid w:val="00A01F10"/>
    <w:rsid w:val="00A03E35"/>
    <w:rsid w:val="00A0432A"/>
    <w:rsid w:val="00A05CCF"/>
    <w:rsid w:val="00A22C75"/>
    <w:rsid w:val="00A22E53"/>
    <w:rsid w:val="00A24D0B"/>
    <w:rsid w:val="00A35AD9"/>
    <w:rsid w:val="00A4119E"/>
    <w:rsid w:val="00A4500A"/>
    <w:rsid w:val="00A5685D"/>
    <w:rsid w:val="00A6622F"/>
    <w:rsid w:val="00A66A64"/>
    <w:rsid w:val="00A72CD2"/>
    <w:rsid w:val="00A7313C"/>
    <w:rsid w:val="00A84CA4"/>
    <w:rsid w:val="00AC672C"/>
    <w:rsid w:val="00AE09F3"/>
    <w:rsid w:val="00AE0DB5"/>
    <w:rsid w:val="00AE1B87"/>
    <w:rsid w:val="00AE45C2"/>
    <w:rsid w:val="00AE5BA3"/>
    <w:rsid w:val="00AE5E94"/>
    <w:rsid w:val="00AE6C05"/>
    <w:rsid w:val="00B16943"/>
    <w:rsid w:val="00B16AF6"/>
    <w:rsid w:val="00B20265"/>
    <w:rsid w:val="00B22BBE"/>
    <w:rsid w:val="00B23A42"/>
    <w:rsid w:val="00B3712D"/>
    <w:rsid w:val="00B40B1B"/>
    <w:rsid w:val="00B5649F"/>
    <w:rsid w:val="00B56985"/>
    <w:rsid w:val="00B64EEE"/>
    <w:rsid w:val="00B652C5"/>
    <w:rsid w:val="00B70B6A"/>
    <w:rsid w:val="00B94377"/>
    <w:rsid w:val="00B9647F"/>
    <w:rsid w:val="00BA3BA0"/>
    <w:rsid w:val="00BC3D46"/>
    <w:rsid w:val="00BC7B78"/>
    <w:rsid w:val="00BD3599"/>
    <w:rsid w:val="00C0340D"/>
    <w:rsid w:val="00C0410C"/>
    <w:rsid w:val="00C148E1"/>
    <w:rsid w:val="00C31205"/>
    <w:rsid w:val="00C35D7D"/>
    <w:rsid w:val="00C43B2D"/>
    <w:rsid w:val="00C5520E"/>
    <w:rsid w:val="00C614A9"/>
    <w:rsid w:val="00C73108"/>
    <w:rsid w:val="00C84D3C"/>
    <w:rsid w:val="00C91260"/>
    <w:rsid w:val="00C9430E"/>
    <w:rsid w:val="00CA1550"/>
    <w:rsid w:val="00CB64A0"/>
    <w:rsid w:val="00CC5BCC"/>
    <w:rsid w:val="00CD1BBE"/>
    <w:rsid w:val="00CD6D8A"/>
    <w:rsid w:val="00CE2F5B"/>
    <w:rsid w:val="00CE6A53"/>
    <w:rsid w:val="00CF1220"/>
    <w:rsid w:val="00D0663B"/>
    <w:rsid w:val="00D0794D"/>
    <w:rsid w:val="00D13F12"/>
    <w:rsid w:val="00D14AC9"/>
    <w:rsid w:val="00D17BE8"/>
    <w:rsid w:val="00D36F58"/>
    <w:rsid w:val="00D459D3"/>
    <w:rsid w:val="00D46625"/>
    <w:rsid w:val="00D67252"/>
    <w:rsid w:val="00D7474D"/>
    <w:rsid w:val="00D8589C"/>
    <w:rsid w:val="00D869FC"/>
    <w:rsid w:val="00DA4FE7"/>
    <w:rsid w:val="00DB18D7"/>
    <w:rsid w:val="00DB4180"/>
    <w:rsid w:val="00DB6B1A"/>
    <w:rsid w:val="00DC5F84"/>
    <w:rsid w:val="00DC696E"/>
    <w:rsid w:val="00DD3FED"/>
    <w:rsid w:val="00DD5906"/>
    <w:rsid w:val="00DD71B2"/>
    <w:rsid w:val="00DF3338"/>
    <w:rsid w:val="00E0635C"/>
    <w:rsid w:val="00E12CE4"/>
    <w:rsid w:val="00E22CAF"/>
    <w:rsid w:val="00E2350D"/>
    <w:rsid w:val="00E31335"/>
    <w:rsid w:val="00E320D1"/>
    <w:rsid w:val="00E3383D"/>
    <w:rsid w:val="00E37C04"/>
    <w:rsid w:val="00E44F4B"/>
    <w:rsid w:val="00E54EAD"/>
    <w:rsid w:val="00E70CDA"/>
    <w:rsid w:val="00E74ECC"/>
    <w:rsid w:val="00E805D1"/>
    <w:rsid w:val="00E86387"/>
    <w:rsid w:val="00E97EEA"/>
    <w:rsid w:val="00EA7AB8"/>
    <w:rsid w:val="00EB0E60"/>
    <w:rsid w:val="00EC0398"/>
    <w:rsid w:val="00EC72FD"/>
    <w:rsid w:val="00EE75DF"/>
    <w:rsid w:val="00F1372A"/>
    <w:rsid w:val="00F303F2"/>
    <w:rsid w:val="00F32D6B"/>
    <w:rsid w:val="00F35CB4"/>
    <w:rsid w:val="00F45CF5"/>
    <w:rsid w:val="00F669A7"/>
    <w:rsid w:val="00F67248"/>
    <w:rsid w:val="00F83B0C"/>
    <w:rsid w:val="00F91994"/>
    <w:rsid w:val="00FA270E"/>
    <w:rsid w:val="00FC4737"/>
    <w:rsid w:val="00FD713B"/>
    <w:rsid w:val="00FE122C"/>
    <w:rsid w:val="00FE6EFC"/>
    <w:rsid w:val="00FF6511"/>
    <w:rsid w:val="34E33A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8"/>
    <w:semiHidden/>
    <w:unhideWhenUsed/>
    <w:qFormat/>
    <w:uiPriority w:val="99"/>
    <w:pPr>
      <w:ind w:left="100" w:leftChars="2500"/>
    </w:pPr>
  </w:style>
  <w:style w:type="paragraph" w:styleId="3">
    <w:name w:val="Balloon Text"/>
    <w:basedOn w:val="1"/>
    <w:link w:val="13"/>
    <w:semiHidden/>
    <w:unhideWhenUsed/>
    <w:uiPriority w:val="99"/>
    <w:rPr>
      <w:sz w:val="18"/>
      <w:szCs w:val="18"/>
    </w:rPr>
  </w:style>
  <w:style w:type="paragraph" w:styleId="4">
    <w:name w:val="footer"/>
    <w:basedOn w:val="1"/>
    <w:link w:val="16"/>
    <w:unhideWhenUsed/>
    <w:uiPriority w:val="99"/>
    <w:pPr>
      <w:tabs>
        <w:tab w:val="center" w:pos="4153"/>
        <w:tab w:val="right" w:pos="8306"/>
      </w:tabs>
      <w:snapToGrid w:val="0"/>
      <w:jc w:val="left"/>
    </w:pPr>
    <w:rPr>
      <w:sz w:val="18"/>
      <w:szCs w:val="18"/>
    </w:rPr>
  </w:style>
  <w:style w:type="paragraph" w:styleId="5">
    <w:name w:val="header"/>
    <w:basedOn w:val="1"/>
    <w:link w:val="15"/>
    <w:unhideWhenUs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qFormat/>
    <w:uiPriority w:val="0"/>
    <w:rPr>
      <w:b/>
      <w:bCs/>
    </w:rPr>
  </w:style>
  <w:style w:type="character" w:styleId="11">
    <w:name w:val="page number"/>
    <w:basedOn w:val="9"/>
    <w:uiPriority w:val="0"/>
  </w:style>
  <w:style w:type="paragraph" w:customStyle="1" w:styleId="12">
    <w:name w:val="Char"/>
    <w:basedOn w:val="1"/>
    <w:uiPriority w:val="0"/>
    <w:rPr>
      <w:rFonts w:ascii="仿宋_GB2312" w:hAnsi="&lt;p&gt;" w:eastAsia="仿宋_GB2312" w:cs="仿宋_GB2312"/>
      <w:b/>
      <w:bCs/>
      <w:sz w:val="32"/>
      <w:szCs w:val="32"/>
    </w:rPr>
  </w:style>
  <w:style w:type="character" w:customStyle="1" w:styleId="13">
    <w:name w:val="批注框文本 Char"/>
    <w:basedOn w:val="9"/>
    <w:link w:val="3"/>
    <w:semiHidden/>
    <w:uiPriority w:val="99"/>
    <w:rPr>
      <w:sz w:val="18"/>
      <w:szCs w:val="18"/>
    </w:rPr>
  </w:style>
  <w:style w:type="paragraph" w:styleId="14">
    <w:name w:val="List Paragraph"/>
    <w:basedOn w:val="1"/>
    <w:qFormat/>
    <w:uiPriority w:val="34"/>
    <w:pPr>
      <w:ind w:firstLine="420" w:firstLineChars="200"/>
    </w:pPr>
  </w:style>
  <w:style w:type="character" w:customStyle="1" w:styleId="15">
    <w:name w:val="页眉 Char"/>
    <w:basedOn w:val="9"/>
    <w:link w:val="5"/>
    <w:uiPriority w:val="99"/>
    <w:rPr>
      <w:sz w:val="18"/>
      <w:szCs w:val="18"/>
    </w:rPr>
  </w:style>
  <w:style w:type="character" w:customStyle="1" w:styleId="16">
    <w:name w:val="页脚 Char"/>
    <w:basedOn w:val="9"/>
    <w:link w:val="4"/>
    <w:uiPriority w:val="99"/>
    <w:rPr>
      <w:sz w:val="18"/>
      <w:szCs w:val="18"/>
    </w:rPr>
  </w:style>
  <w:style w:type="paragraph" w:customStyle="1" w:styleId="17">
    <w:name w:val="Char Char Char Char Char Char Char Char Char Char"/>
    <w:basedOn w:val="1"/>
    <w:uiPriority w:val="0"/>
    <w:pPr>
      <w:widowControl/>
      <w:spacing w:after="160" w:line="240" w:lineRule="exact"/>
      <w:jc w:val="left"/>
    </w:pPr>
    <w:rPr>
      <w:rFonts w:ascii="Times New Roman" w:hAnsi="Times New Roman" w:eastAsia="宋体" w:cs="Times New Roman"/>
      <w:szCs w:val="20"/>
    </w:rPr>
  </w:style>
  <w:style w:type="character" w:customStyle="1" w:styleId="18">
    <w:name w:val="日期 Char"/>
    <w:basedOn w:val="9"/>
    <w:link w:val="2"/>
    <w:semiHidden/>
    <w:qFormat/>
    <w:uiPriority w:val="99"/>
  </w:style>
  <w:style w:type="paragraph" w:styleId="19">
    <w:name w:val="No Spacing"/>
    <w:qFormat/>
    <w:uiPriority w:val="1"/>
    <w:pPr>
      <w:adjustRightInd w:val="0"/>
      <w:snapToGrid w:val="0"/>
    </w:pPr>
    <w:rPr>
      <w:rFonts w:ascii="Tahoma" w:hAnsi="Tahoma" w:eastAsia="微软雅黑" w:cstheme="minorBidi"/>
      <w:kern w:val="0"/>
      <w:sz w:val="22"/>
      <w:szCs w:val="22"/>
      <w:lang w:val="en-US" w:eastAsia="zh-CN" w:bidi="ar-SA"/>
    </w:rPr>
  </w:style>
  <w:style w:type="paragraph" w:customStyle="1" w:styleId="20">
    <w:name w:val="列表段落1"/>
    <w:basedOn w:val="1"/>
    <w:qFormat/>
    <w:uiPriority w:val="99"/>
    <w:pPr>
      <w:ind w:firstLine="420" w:firstLineChars="200"/>
    </w:pPr>
    <w:rPr>
      <w:rFonts w:ascii="Times New Roman" w:hAnsi="Times New Roman" w:eastAsia="仿宋_GB2312" w:cs="Times New Roman"/>
      <w:sz w:val="32"/>
      <w:szCs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1DA0E8D-B3D0-4D6E-80CE-DA3076D3C7A4}">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23</Pages>
  <Words>8263</Words>
  <Characters>8314</Characters>
  <Lines>65</Lines>
  <Paragraphs>18</Paragraphs>
  <TotalTime>358</TotalTime>
  <ScaleCrop>false</ScaleCrop>
  <LinksUpToDate>false</LinksUpToDate>
  <CharactersWithSpaces>8764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2018-06-26T03:11:00Z</dcterms:created>
  <dc:creator>ume</dc:creator>
  <cp:lastModifiedBy>WPS_1604918664</cp:lastModifiedBy>
  <cp:lastPrinted>2021-01-07T07:32:00Z</cp:lastPrinted>
  <dcterms:modified xsi:type="dcterms:W3CDTF">2023-07-05T02:05:10Z</dcterms:modified>
  <cp:revision>188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C018D660BA5240F5924A09361A238D4E_13</vt:lpwstr>
  </property>
</Properties>
</file>