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560" w:lineRule="exact"/>
        <w:jc w:val="center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</w:rPr>
        <w:t>历下政办字〔</w:t>
      </w: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hint="eastAsia" w:ascii="仿宋_GB2312" w:eastAsia="仿宋_GB2312" w:cs="仿宋_GB2312"/>
          <w:sz w:val="32"/>
          <w:szCs w:val="32"/>
        </w:rPr>
        <w:t>23〕1号</w:t>
      </w:r>
    </w:p>
    <w:p>
      <w:pPr>
        <w:spacing w:line="560" w:lineRule="exact"/>
        <w:ind w:firstLine="420" w:firstLineChars="200"/>
        <w:rPr>
          <w:rFonts w:ascii="仿宋_GB2312" w:eastAsia="仿宋_GB2312"/>
        </w:rPr>
      </w:pPr>
    </w:p>
    <w:p>
      <w:pPr>
        <w:widowControl/>
        <w:shd w:val="clear" w:color="auto" w:fill="FFFFFF"/>
        <w:spacing w:line="560" w:lineRule="exact"/>
        <w:jc w:val="center"/>
        <w:outlineLvl w:val="0"/>
        <w:rPr>
          <w:rFonts w:ascii="方正小标宋简体" w:hAnsi="宋体" w:eastAsia="方正小标宋简体" w:cs="宋体"/>
          <w:bCs/>
          <w:kern w:val="36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36"/>
          <w:sz w:val="44"/>
          <w:szCs w:val="44"/>
        </w:rPr>
        <w:t>济南市历下区人民政府办公室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"/>
          <w:sz w:val="44"/>
          <w:szCs w:val="44"/>
        </w:rPr>
        <w:t>关于印发2023年《济南市历下区政府工作报告》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目标任务分解的通知</w:t>
      </w:r>
    </w:p>
    <w:p>
      <w:pPr>
        <w:spacing w:line="560" w:lineRule="exact"/>
        <w:ind w:firstLine="640" w:firstLineChars="200"/>
        <w:rPr>
          <w:sz w:val="32"/>
          <w:szCs w:val="36"/>
        </w:rPr>
      </w:pPr>
    </w:p>
    <w:p>
      <w:pPr>
        <w:widowControl/>
        <w:shd w:val="clear" w:color="auto" w:fill="FFFFFF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各街道办事处，区政府各部门（单位）：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经区政府研究，确定了2023年《济南市历下区政府工作报告》目标任务分解，现印发给你们，请抓好贯彻落实。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4160" w:firstLineChars="13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济南市历下区人民政府办公室</w:t>
      </w:r>
    </w:p>
    <w:p>
      <w:pPr>
        <w:widowControl/>
        <w:shd w:val="clear" w:color="auto" w:fill="FFFFFF"/>
        <w:spacing w:line="560" w:lineRule="exact"/>
        <w:ind w:firstLine="5120" w:firstLineChars="16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2023年2月1日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（此件公开发布）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2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Style w:val="18"/>
          <w:rFonts w:ascii="仿宋_GB2312" w:hAnsi="仿宋" w:eastAsia="仿宋_GB2312"/>
          <w:b w:val="0"/>
          <w:sz w:val="32"/>
          <w:szCs w:val="32"/>
        </w:rPr>
      </w:pPr>
    </w:p>
    <w:p>
      <w:pPr>
        <w:pStyle w:val="12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</w:p>
    <w:p>
      <w:pPr>
        <w:pStyle w:val="12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</w:p>
    <w:p>
      <w:pPr>
        <w:pStyle w:val="12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</w:p>
    <w:p>
      <w:pPr>
        <w:pStyle w:val="12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</w:p>
    <w:p>
      <w:pPr>
        <w:pStyle w:val="12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</w:p>
    <w:p>
      <w:pPr>
        <w:pStyle w:val="12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2023年《济南市历下区政府工作报告》</w:t>
      </w:r>
    </w:p>
    <w:p>
      <w:pPr>
        <w:spacing w:line="560" w:lineRule="exact"/>
        <w:jc w:val="center"/>
        <w:rPr>
          <w:rFonts w:ascii="楷体_GB2312" w:hAnsi="方正小标宋简体" w:eastAsia="楷体_GB2312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目标任务分解</w:t>
      </w:r>
    </w:p>
    <w:p>
      <w:pPr>
        <w:spacing w:after="156" w:afterLines="50" w:line="560" w:lineRule="exact"/>
        <w:jc w:val="center"/>
        <w:rPr>
          <w:rFonts w:ascii="楷体_GB2312" w:hAnsi="方正小标宋简体" w:eastAsia="楷体_GB2312" w:cs="方正小标宋简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今年是全面贯彻落实党的二十大精神的开局之年，也是实施十四五发展规划承上启下的关键之年，更是推进国际化一流中心城区建设全面起势的突破之年，做好今年各项工作至关重要、意义深远。当前，疫情影响依然存在，外部环境仍然复杂多变，推动经济社会高质量发展的</w:t>
      </w:r>
      <w:r>
        <w:rPr>
          <w:rFonts w:ascii="仿宋_GB2312" w:eastAsia="仿宋_GB2312"/>
          <w:sz w:val="32"/>
          <w:szCs w:val="32"/>
        </w:rPr>
        <w:t>不确定性上升，</w:t>
      </w:r>
      <w:r>
        <w:rPr>
          <w:rFonts w:hint="eastAsia" w:ascii="仿宋_GB2312" w:eastAsia="仿宋_GB2312"/>
          <w:sz w:val="32"/>
          <w:szCs w:val="32"/>
        </w:rPr>
        <w:t>激发市场活力还需更多</w:t>
      </w:r>
      <w:r>
        <w:rPr>
          <w:rFonts w:ascii="仿宋_GB2312" w:eastAsia="仿宋_GB2312"/>
          <w:sz w:val="32"/>
          <w:szCs w:val="32"/>
        </w:rPr>
        <w:t>有力举措，统筹发展与安全还面临诸多挑战，</w:t>
      </w:r>
      <w:r>
        <w:rPr>
          <w:rFonts w:hint="eastAsia" w:ascii="仿宋_GB2312" w:eastAsia="仿宋_GB2312"/>
          <w:sz w:val="32"/>
          <w:szCs w:val="32"/>
        </w:rPr>
        <w:t>各项重点任务多线推进仍是我们工作的常态。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担当是永不过时的时代标签，实干是永不磨灭的奋斗底色。</w:t>
      </w:r>
      <w:r>
        <w:rPr>
          <w:rFonts w:hint="eastAsia" w:ascii="仿宋_GB2312" w:eastAsia="仿宋_GB2312"/>
          <w:sz w:val="32"/>
          <w:szCs w:val="32"/>
        </w:rPr>
        <w:t>越是面对复杂严峻、压力重重的困难局面，我们越要坚定信心、咬紧牙关，始终保持定力，集中精力办好自己的事；越是面对你追我赶、争先进位的竞争态势，我们越要拉高标杆、唯旗是夺，始终勇争一流，真正体现中心城区的引领带动作用；越是面对重负千钧、多线作战的发展任务，我们越要开拓创新、统筹兼顾，始终昂扬奋发，推动高质量跨越式发展大步向前。我们更要看到，今天的历下，多重重大战略机遇交汇叠加，在强省会建设中领先领跑的优势持续巩固，广大党员干部敢打硬仗、能打胜仗，社会各界连成一条心、拧成一股绳，“天时地利人和”兼备，历下的明天大有可为，我们也必将</w:t>
      </w:r>
      <w:r>
        <w:rPr>
          <w:rFonts w:ascii="仿宋_GB2312" w:eastAsia="仿宋_GB2312"/>
          <w:sz w:val="32"/>
          <w:szCs w:val="32"/>
        </w:rPr>
        <w:t>创造更多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惊涛骇浪从容渡</w:t>
      </w:r>
      <w:r>
        <w:rPr>
          <w:rFonts w:hint="eastAsia" w:ascii="仿宋_GB2312" w:eastAsia="仿宋_GB2312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的奋斗成果，书写更多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越是艰险越向前</w:t>
      </w:r>
      <w:r>
        <w:rPr>
          <w:rFonts w:hint="eastAsia" w:ascii="仿宋_GB2312" w:eastAsia="仿宋_GB2312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的精彩篇章。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2023年全区经济社会发展的总体要求是：</w:t>
      </w:r>
      <w:r>
        <w:rPr>
          <w:rFonts w:hint="eastAsia" w:ascii="黑体" w:hAnsi="黑体" w:eastAsia="黑体" w:cs="黑体"/>
          <w:sz w:val="32"/>
          <w:szCs w:val="32"/>
        </w:rPr>
        <w:t>高举习近平新时代中国特色社会主义思想伟大旗帜，完整、准确、全面贯彻党的二十大精神，抢抓落实黄河国家战略、绿色低碳高质量发展先行区建设、科创金融改革试验区建设等重大历史机遇，以更大的力度、更新的举措、更实的作风推动城市更新、项目建设、招商服务等重点工作创新发展，加快构建“一轴三区多园”城市发展新格局，不断开创国际化一流中心城区建设新局面，为新时代社会主义现代化强省会建设贡献更大力量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今年经济社会发展主要预期目标是：地区生产总值增长6%，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（牵头领导：武毅；责任单位：区发展和改革局）</w:t>
      </w:r>
      <w:r>
        <w:rPr>
          <w:rFonts w:hint="eastAsia" w:ascii="仿宋_GB2312" w:eastAsia="仿宋_GB2312"/>
          <w:sz w:val="32"/>
          <w:szCs w:val="32"/>
        </w:rPr>
        <w:t>一般公共预算收入增长17%左右，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（牵头领导：武毅；责任单位：区财政局）</w:t>
      </w:r>
      <w:r>
        <w:rPr>
          <w:rFonts w:hint="eastAsia" w:ascii="仿宋_GB2312" w:eastAsia="仿宋_GB2312"/>
          <w:sz w:val="32"/>
          <w:szCs w:val="32"/>
        </w:rPr>
        <w:t>固定资产投资增长7%左右；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（牵头领导：武毅；责任单位：区发展和改革局）</w:t>
      </w:r>
      <w:r>
        <w:rPr>
          <w:rFonts w:hint="eastAsia" w:ascii="仿宋_GB2312" w:eastAsia="仿宋_GB2312"/>
          <w:sz w:val="32"/>
          <w:szCs w:val="32"/>
        </w:rPr>
        <w:t>规模以上工业增加值增长7%左右，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（牵头领导：武毅；责任单位：区工业和信息化局）</w:t>
      </w:r>
      <w:r>
        <w:rPr>
          <w:rFonts w:hint="eastAsia" w:ascii="仿宋_GB2312" w:eastAsia="仿宋_GB2312"/>
          <w:sz w:val="32"/>
          <w:szCs w:val="32"/>
        </w:rPr>
        <w:t>社会消费品零售总额增长5.7%，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（牵头领导：洪露；责任单位：区商务局）</w:t>
      </w:r>
      <w:r>
        <w:rPr>
          <w:rFonts w:hint="eastAsia" w:ascii="仿宋_GB2312" w:eastAsia="仿宋_GB2312"/>
          <w:sz w:val="32"/>
          <w:szCs w:val="32"/>
        </w:rPr>
        <w:t>实际使用外资增长3%，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（牵头领导：洪露；责任单位：区投资促进局）</w:t>
      </w:r>
      <w:r>
        <w:rPr>
          <w:rFonts w:hint="eastAsia" w:ascii="仿宋_GB2312" w:eastAsia="仿宋_GB2312"/>
          <w:sz w:val="32"/>
          <w:szCs w:val="32"/>
        </w:rPr>
        <w:t>城镇居民人均可支配收入增长5.5%左右，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（牵头领导：武毅；责任单位：区发展和改革局）</w:t>
      </w:r>
      <w:r>
        <w:rPr>
          <w:rFonts w:hint="eastAsia" w:ascii="仿宋_GB2312" w:eastAsia="仿宋_GB2312"/>
          <w:sz w:val="32"/>
          <w:szCs w:val="32"/>
        </w:rPr>
        <w:t>新增城镇就业3.71万人。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（牵头领导：王若曦；责任单位：区人力资源和社会保障局）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围绕实现上述目标，我们将重点抓好六个统筹：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（一）统筹高质量发展和安全稳定，持续筑牢领先领跑基础。</w:t>
      </w:r>
      <w:r>
        <w:rPr>
          <w:rFonts w:hint="eastAsia" w:ascii="仿宋_GB2312" w:hAnsi="Times New Roman" w:eastAsia="仿宋_GB2312" w:cs="Times New Roman"/>
          <w:sz w:val="32"/>
          <w:szCs w:val="32"/>
        </w:rPr>
        <w:t>坚持稳中求进工作总基调，完整、准确、全面贯彻新发展理念，更好统筹发展和安全，推动经济运行持续向好，努力实现质的有效提升和量的合理增长。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全力以赴做好稳企惠企、稳定就业。</w:t>
      </w:r>
      <w:r>
        <w:rPr>
          <w:rFonts w:hint="eastAsia" w:ascii="仿宋_GB2312" w:hAnsi="仿宋_GB2312" w:eastAsia="仿宋_GB2312" w:cs="仿宋_GB2312"/>
          <w:sz w:val="32"/>
          <w:szCs w:val="32"/>
        </w:rPr>
        <w:t>持续深化重点企业包挂联系和问题解决机制，关心关注中小企业发展，分类制定支持措施，切实解决企业用工、供销、融资等实际问题，抓好各项纾困政策落实，助力企业良性发展。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（牵头领导：武毅；牵头单位：区发展和改革局；责任单位：区商务局、区工业和信息化局、区行政审批服务局、区市场监督管理局、区地方金融监督管理局、区人力资源和社会保障局、区住房和城市建设局）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落实落细就业优先政策，引导中小微企业开发新业态、创造新岗位，不断扩大就业“蓄水池”；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（牵头领导：王若曦；责任单位：区人力资源和社会保障局）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坚持以创业带动就业，抓好担保贷款、创业补贴政策落实，让想创业、敢创新、能创造的奋进者各展其才、尽显身手；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（牵头领导：王若曦；牵头单位：区人力资源和社会保障局；责任单位：区地方金融监督管理局）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推动应届毕业生、退役军人、农民工、残疾人等重点群体就业帮扶全覆盖，优先推荐岗位，切实兜住兜牢民生底线。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（牵头领导：王若曦；牵头单位：区人力资源和社会保障局;责任单位：区退役军人事务局、区残联、区住房和城市建设局）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千方百计推进消费复苏、稳住投资。</w:t>
      </w:r>
      <w:r>
        <w:rPr>
          <w:rFonts w:hint="eastAsia" w:ascii="仿宋_GB2312" w:hAnsi="仿宋_GB2312" w:eastAsia="仿宋_GB2312" w:cs="仿宋_GB2312"/>
          <w:sz w:val="32"/>
          <w:szCs w:val="32"/>
        </w:rPr>
        <w:t>做实“乐购历下”品牌，聚焦汽车、餐饮、文旅、百货等重点领域，组织策划促销费活动50场，推动消费市场加快恢复；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（牵头领导：洪露；牵头单位：区商务局；责任单位：区文化和旅游局）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拓展新消费场景，促进直播带货、社交电商集聚发展，积极创建电商示范基地，推动新一代信息技术向消费领域广泛渗透，鼓励实体零售业数字化转型，持续激发消费新活力。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（牵头领导：洪露；责任单位：区商务局）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坚持“项目为王”，深入推进全区72个重点项目建设，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（牵头领导：武毅；责任单位：区发展和改革局）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确保CBD中央广场等90万平方米项目交付，加快推进中央商务区北片区等206万平方米项目续建，推动槿椿泺园等113万平方米项目开工，持续夯实投资支撑基础；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（牵头领导：赵冬梅；责任单位：历下控股集团）</w:t>
      </w:r>
      <w:r>
        <w:rPr>
          <w:rFonts w:hint="eastAsia" w:ascii="仿宋_GB2312" w:hAnsi="仿宋_GB2312" w:eastAsia="仿宋_GB2312" w:cs="仿宋_GB2312"/>
          <w:sz w:val="32"/>
          <w:szCs w:val="32"/>
        </w:rPr>
        <w:t>牢牢把握上级政策支持方向，实行重点项目前置准入筛选，用足用好政府专项债券、政策性开发性金融工具、中央预算内资金，充分发挥五大政府平台对项目和资本的吸引作用，策划包装一批体量大、前景好的产业项目，撬动更多社会力量参与历下建设，确保全区项目建设接续有力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（牵头领导：武毅；牵头单位：区发展和改革局；责任单位：区财政局、历下控股集团、历下城市发展集团、济南古城城市发展有限公司、历下人力资源服务产业园运营管理公司、历下财鑫基金投资集团）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坚定不移维护安全发展、和谐稳定。</w:t>
      </w:r>
      <w:r>
        <w:rPr>
          <w:rFonts w:hint="eastAsia" w:ascii="仿宋_GB2312" w:hAnsi="仿宋_GB2312" w:eastAsia="仿宋_GB2312" w:cs="仿宋_GB2312"/>
          <w:sz w:val="32"/>
          <w:szCs w:val="32"/>
        </w:rPr>
        <w:t>因时因势优化疫情防控措施，认真落实新阶段疫情防控各项举措，着力强化基层医疗卫生机构服务能力，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（牵头领导：王若曦；责任单位：区卫生健康局）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保障好群众就医用药需求，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（牵头领导：武毅、王若曦；责任单位：区卫生健康局、区市场监督管理局）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重点加强学校、养老机构等特殊场所管控，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（牵头领导：王若曦、李伟；责任单位：区教育和体育局、区民政局）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加快推进老年人疫苗接种，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（牵头领导：王若曦；牵头单位：区卫生健康局；责任单位：区疾控中心，各街道办事处）</w:t>
      </w:r>
      <w:r>
        <w:rPr>
          <w:rFonts w:hint="eastAsia" w:ascii="仿宋_GB2312" w:hAnsi="仿宋_GB2312" w:eastAsia="仿宋_GB2312" w:cs="仿宋_GB2312"/>
          <w:sz w:val="32"/>
          <w:szCs w:val="32"/>
        </w:rPr>
        <w:t>着力保健康、防重症，最大限度减少疫情对经济社会发展的影响。持续推进韧性城市建设，不断健全公共安全体系，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（牵头领导：武毅；责任单位：区应急管理局）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强化食品药品安全监管，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（牵头领导：武毅；责任单位：区市场监督管理局）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切实提升城市防汛、森林防火、应急救援能力，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（牵头领导：武毅；牵头单位：区应急管理局；责任单位：区水务局、区自然资源局、区消防救援大队）</w:t>
      </w:r>
      <w:r>
        <w:rPr>
          <w:rFonts w:hint="eastAsia" w:ascii="仿宋_GB2312" w:hAnsi="仿宋_GB2312" w:eastAsia="仿宋_GB2312" w:cs="仿宋_GB2312"/>
          <w:sz w:val="32"/>
          <w:szCs w:val="32"/>
        </w:rPr>
        <w:t>加快茂岭山消防站建设，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（牵头领导：武毅；责任单位：区消防救援大队）</w:t>
      </w:r>
      <w:r>
        <w:rPr>
          <w:rFonts w:hint="eastAsia" w:ascii="仿宋_GB2312" w:hAnsi="仿宋_GB2312" w:eastAsia="仿宋_GB2312" w:cs="仿宋_GB2312"/>
          <w:sz w:val="32"/>
          <w:szCs w:val="32"/>
        </w:rPr>
        <w:t>扎实开展安全隐患排查整治，防范遏制较大以上事故发生。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（牵头领导：武毅；牵头单位：区应急管理局；责任单位：区安委会各成员单位）</w:t>
      </w:r>
      <w:r>
        <w:rPr>
          <w:rFonts w:hint="eastAsia" w:ascii="仿宋_GB2312" w:hAnsi="仿宋_GB2312" w:eastAsia="仿宋_GB2312" w:cs="仿宋_GB2312"/>
          <w:sz w:val="32"/>
          <w:szCs w:val="32"/>
        </w:rPr>
        <w:t>依法推进信访积案化解，严格执行公开接访制度，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（牵头领导：李伟；责任单位：区信访局）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持续推动扫黑除恶常态化，严厉打击侵害群众利益、扰乱市场环境的违法犯罪行为。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（牵头领导：毕经海；牵头单位：区委政法委；责任单位：区公安分局）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推动房地产市场平稳发展，扎实做好保交楼、保民生、保稳定各项工作。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（牵头领导：赵冬梅；牵头单位：区住房和城市建设局；责任单位：各街道办事处）</w:t>
      </w:r>
      <w:r>
        <w:rPr>
          <w:rFonts w:hint="eastAsia" w:ascii="仿宋_GB2312" w:hAnsi="仿宋_GB2312" w:eastAsia="仿宋_GB2312" w:cs="仿宋_GB2312"/>
          <w:sz w:val="32"/>
          <w:szCs w:val="32"/>
        </w:rPr>
        <w:t>督促金融机构有效压降不良贷款，强化金融风险日常监测。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（牵头领导：武毅；责任单位：区地方金融监督管理局）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紧盯粮食安全，完善粮食应急保障体系，持续充实成品粮油应急储备。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（牵头领导：武毅；责任单位：区发展和改革局）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密切关注、及时处置重大舆情，充分发挥融媒平台作用，积极回应社会关切，做好正面引导，为经济社会发展营造和谐稳定的良好氛围。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（牵头领导：区有关领导；责任单位：区委宣传部）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（二）统筹城市更新和产业转型升级，着力提升城市发展能级。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以征收拆迁为带动，加速城市有机更新，加快构建“一轴三区多园”城市发展新格局。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以非常之力跑出征收拆迁“加速度”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。坚持“留、改、拆、建”并举，推动解放桥、铁路党校等城市更新项目取得实质性进展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（牵头领导：赵冬梅；牵头单位：区住房和城市建设局；责任单位：区房屋征收服务中心，建新、解放路、文东街道办事处，历下控股集团、历下城市发展集团）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全力推进中建八局地块等8个</w:t>
      </w:r>
      <w:r>
        <w:rPr>
          <w:rFonts w:ascii="仿宋_GB2312" w:hAnsi="仿宋_GB2312" w:eastAsia="仿宋_GB2312" w:cs="仿宋_GB2312"/>
          <w:bCs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、20万平方米</w:t>
      </w:r>
      <w:r>
        <w:rPr>
          <w:rFonts w:ascii="仿宋_GB2312" w:hAnsi="仿宋_GB2312" w:eastAsia="仿宋_GB2312" w:cs="仿宋_GB2312"/>
          <w:bCs/>
          <w:sz w:val="32"/>
          <w:szCs w:val="32"/>
        </w:rPr>
        <w:t>征收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拆迁，尽快完成</w:t>
      </w:r>
      <w:r>
        <w:rPr>
          <w:rFonts w:ascii="仿宋_GB2312" w:hAnsi="仿宋_GB2312" w:eastAsia="仿宋_GB2312" w:cs="仿宋_GB2312"/>
          <w:bCs/>
          <w:sz w:val="32"/>
          <w:szCs w:val="32"/>
        </w:rPr>
        <w:t>小南营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等3个项目</w:t>
      </w:r>
      <w:r>
        <w:rPr>
          <w:rFonts w:ascii="仿宋_GB2312" w:hAnsi="仿宋_GB2312" w:eastAsia="仿宋_GB2312" w:cs="仿宋_GB2312"/>
          <w:bCs/>
          <w:sz w:val="32"/>
          <w:szCs w:val="32"/>
        </w:rPr>
        <w:t>扫尾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清零。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（牵头领导：赵冬梅；牵头单位：区住房和城市建设局；责任单位：房屋征收服务中心，泉城路、大明湖、东关、建新、千佛山、解放路、姚家、智远街道办事处，历下控股集团、历下城市发展集团）</w:t>
      </w:r>
      <w:r>
        <w:rPr>
          <w:rFonts w:ascii="仿宋_GB2312" w:hAnsi="仿宋_GB2312" w:eastAsia="仿宋_GB2312" w:cs="仿宋_GB2312"/>
          <w:bCs/>
          <w:sz w:val="32"/>
          <w:szCs w:val="32"/>
        </w:rPr>
        <w:t>坚决打赢义和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庄征收拆迁</w:t>
      </w:r>
      <w:r>
        <w:rPr>
          <w:rFonts w:ascii="仿宋_GB2312" w:hAnsi="仿宋_GB2312" w:eastAsia="仿宋_GB2312" w:cs="仿宋_GB2312"/>
          <w:bCs/>
          <w:sz w:val="32"/>
          <w:szCs w:val="32"/>
        </w:rPr>
        <w:t>攻坚战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（牵头领导：赵冬梅；牵头单位：区住房和城市建设局；责任单位：智远街道办事处、历下控股集团）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探索中井村更新实施方案，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（牵头领导：赵冬梅；牵头单位：区住房和城市建设局；责任单位：区自然资源局、龙洞街道办事处）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加快文博西片区建设，同步解决姚家村“新村上楼”和村民生活保障房问题，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（牵头领导：赵冬梅；牵头单位：区住房和城市建设局；责任单位：区自然资源局、姚家街道办事处）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推动城市品质面貌和居民生活水平双提升</w:t>
      </w:r>
      <w:r>
        <w:rPr>
          <w:rFonts w:ascii="仿宋_GB2312" w:hAnsi="仿宋_GB2312" w:eastAsia="仿宋_GB2312" w:cs="仿宋_GB2312"/>
          <w:bCs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全面强化要素保障，科学拓展城市建设边界，全年实现科技城等片区供地550余亩，给未来腾出发展空间。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（牵头领导：赵冬梅；责任单位：区自然资源局）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以持久之功塑造济南古城“新面貌”。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尊重文化遗产真实性和完整性，围绕泉水泉道、传统街巷、建筑院落、历史人文、文旅产业五大主线，高标准做好古城规划策划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（牵头领导：赵冬梅；牵头单位：济南古城保护和发展中心；责任单位：区文化和旅游局）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，改造提升百花洲历史文化展示中心，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</w:rPr>
        <w:t>牵头领导：赵冬梅；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责任单位：</w:t>
      </w:r>
      <w:r>
        <w:rPr>
          <w:rFonts w:hint="eastAsia" w:ascii="楷体_GB2312" w:hAnsi="楷体_GB2312" w:eastAsia="楷体_GB2312" w:cs="楷体_GB2312"/>
          <w:sz w:val="32"/>
          <w:szCs w:val="32"/>
        </w:rPr>
        <w:t>济南古城保护和发展中心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让城市留住记忆。全面完成片区房屋征收，启动小明湖地块建设。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</w:rPr>
        <w:t>牵头领导：赵冬梅；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牵头单位：</w:t>
      </w:r>
      <w:r>
        <w:rPr>
          <w:rFonts w:hint="eastAsia" w:ascii="楷体_GB2312" w:hAnsi="楷体_GB2312" w:eastAsia="楷体_GB2312" w:cs="楷体_GB2312"/>
          <w:sz w:val="32"/>
          <w:szCs w:val="32"/>
        </w:rPr>
        <w:t>济南古城保护和发展中心；责任单位：区住房和城市建设局、区房屋征收服务中心、泉城路、大明湖街道办事处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做好传承创新文章，着力打造非遗与手工业传承、制作、销售、展示、体验的产业链条，推动历史文化创造性转化、创新性发展。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（牵头领导：赵冬梅；牵头单位：济南古城保护和发展中心；责任单位：区文化和旅游局、历下控股集团）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不断扩大国家级夜间文旅消费集聚区和国家级旅游休闲街区影响力，成立泉城路商圈联盟，有效盘活闲置资源，重现济南古城文旅商繁荣发展格局。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（牵头领导：李伟；牵头单位：区文化和旅游局；责任单位：区商务局、济南古城保护和发展中心）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以务实之效提升中央商务区“硬实力”。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加快推动“山泉湖河城”五大超高层等67栋、300万平方米高端楼宇建设，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（牵头领导：武毅；牵头单位：区发展和改革局；责任单位:区住房和城市建设局、济南中央商务区管委会）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确保济南平安金融中心、华泉万象天地等80万平方米载体建成交付。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（牵头领导：武毅；牵头单位：区发展和改革局；责任单位:区住房和城市建设局、济南中央商务区管委会）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加快片区内34条道路建设，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（牵头领导：于杰；责任单位：区市政工程服务中心）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推进交通设施验收移交，优化过渡时期交通组织，科学划定停车泊位，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（牵头领导：于杰；牵头单位：区交警大队；责任单位:区市政工程服务中心、区园林绿化服务中心）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引入社区公交线路，全面提升片区交通环境。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（牵头领导：于杰；牵头单位：区市政工程服务中心）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突出金融和总部经济辐射引领作用和国际化定位，研究出台CBD招大引强专项优惠扶持政策，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（牵头领导：王海清；牵头单位:济南中央商务区管委会；责任单位:区投资促进局）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深化“一楼一策”“一企一策”招商服务模式，以国际金融城北区等载体为依托，瞄准世界500强和行业头部企业，再添至少3座“亿元楼”。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</w:rPr>
        <w:t>牵头领导：王海清；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牵头单位:济南中央商务区管委会；责任单位：区商务局）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专设税收征管、行政审批、工商注册等服务机构，着力提升服务保障水平。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</w:rPr>
        <w:t>牵头领导：王海清；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牵头单位：济南中央商务区管委会；责任单位:区税务局、区行政审批服务局）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加快推进智慧化国际商圈建设，以智能停车、商圈大数据平台等为切入点推动商圈数字化改造，积极引入国际知名商超便利、高端餐饮、精品文娱、科技服务类品牌，打造国际化高端消费特色街区，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（牵头领导：王海清；牵头单位：济南中央商务区管委会；责任单位:区商务局）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举办好中国商务区联盟年会等大型宣传推介活动，让CBD更具活力、更具吸引力，加快构建省会高质量发展最强动力源。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（牵头领导：王海清；责任单位：济南中央商务区管委会）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以战略之举打造长岭高科“新高地”。</w:t>
      </w:r>
      <w:r>
        <w:rPr>
          <w:rFonts w:hint="eastAsia" w:ascii="仿宋_GB2312" w:hAnsi="仿宋_GB2312" w:eastAsia="仿宋_GB2312" w:cs="仿宋_GB2312"/>
          <w:sz w:val="32"/>
          <w:szCs w:val="32"/>
        </w:rPr>
        <w:t>尽快完成片区相关地块用地性质调整，强化产业用地供给，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</w:rPr>
        <w:t>牵头领导：赵冬梅；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责任单位:区自然资源局）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做好电子信息制造产业园等项目包装策划，积极申报80亿元政府专项债券支持，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</w:rPr>
        <w:t>牵头领导：武毅；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牵头单位:区发展和改革局；责任单位：区财政局）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加快52万平方米的义和庄村民生活保障用房等项目建设，为重点产业项目落地提供完备要素保障。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</w:rPr>
        <w:t>牵头领导：赵冬梅；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责任单位：历下控股集团）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坚持新一代信息技术和生物医药产业发展主攻方向，高标准规划建设明湖国际新技术产业园、电子信息产业园，发挥华为等龙头企业带动作用，吸引芯片设计、算力算法等领域顶尖资源、高端人才聚集；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</w:rPr>
        <w:t>牵头领导：赵冬梅；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责任单位：历下控股集团）</w:t>
      </w:r>
      <w:r>
        <w:rPr>
          <w:rFonts w:hint="eastAsia" w:ascii="仿宋_GB2312" w:hAnsi="仿宋_GB2312" w:eastAsia="仿宋_GB2312" w:cs="仿宋_GB2312"/>
          <w:sz w:val="32"/>
          <w:szCs w:val="32"/>
        </w:rPr>
        <w:t>全力抢抓进度，确保明湖国际生物制药基地尽快竣工交付、细胞医学产业园投产运营，推动片区发展潜力转化为高端产业实力，打造历下战略性新兴产业领航旗舰。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</w:rPr>
        <w:t>牵头领导：赵冬梅；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责任单位：历下控股集团）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（三）统筹基础建设和数智融合应用，打造一流数字先锋城区。</w:t>
      </w:r>
      <w:r>
        <w:rPr>
          <w:rFonts w:hint="eastAsia" w:ascii="仿宋_GB2312" w:hAnsi="仿宋_GB2312" w:eastAsia="仿宋_GB2312" w:cs="仿宋_GB2312"/>
          <w:sz w:val="32"/>
          <w:szCs w:val="32"/>
        </w:rPr>
        <w:t>一体推进算力、算法、算数、算网系统建设，创新数字经济、数字社会、数字政府、数字机关应用场景，为数字济南建设树立标杆、作出示范。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全力推进数字基础设施建设。</w:t>
      </w:r>
      <w:r>
        <w:rPr>
          <w:rFonts w:hint="eastAsia" w:ascii="仿宋_GB2312" w:hAnsi="仿宋_GB2312" w:eastAsia="仿宋_GB2312" w:cs="仿宋_GB2312"/>
          <w:sz w:val="32"/>
          <w:szCs w:val="32"/>
        </w:rPr>
        <w:t>推动算力算法资源协同应用、融合创新，加快推进济南人工智能计算中心建设，提高算力使用效率，逐步扩大算力算法服务规模。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（牵头领导：赵冬梅；责任单位：历下控股集团）</w:t>
      </w:r>
      <w:r>
        <w:rPr>
          <w:rFonts w:hint="eastAsia" w:ascii="仿宋_GB2312" w:hAnsi="仿宋_GB2312" w:eastAsia="仿宋_GB2312" w:cs="仿宋_GB2312"/>
          <w:sz w:val="32"/>
          <w:szCs w:val="32"/>
        </w:rPr>
        <w:t>高标准推动算力网络建设，统筹推进“双千兆”网络协同发展行动、5G应用扬帆行动，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（牵头领导：武毅；责任单位：区工业和信息化局）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完成“星火·链网”超级节点建设，发挥国家级数字关键基础设施的虹吸作用，大力集聚行业头部企业。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（牵头领导：武毅；责任单位：区工业和信息化局）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用活用好大数据资源，优化提升区级大数据中心平台和资源库，规范数据归集标准，实现数据高质量归集共享、信息高质量协同衔接，营造高速泛在、云网融合、智能敏捷、绿色低碳的数字生态。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（牵头领导：洪露；牵头单位：区大数据局）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大力实施数字经济引领战略。</w:t>
      </w:r>
      <w:r>
        <w:rPr>
          <w:rFonts w:hint="eastAsia" w:ascii="仿宋_GB2312" w:hAnsi="仿宋_GB2312" w:eastAsia="仿宋_GB2312" w:cs="仿宋_GB2312"/>
          <w:sz w:val="32"/>
          <w:szCs w:val="32"/>
        </w:rPr>
        <w:t>加快推动数字产业化集聚发展，围绕华为、百度、浪潮等行业龙头企业，积极引进上下游生态合作伙伴，加快培育壮大芯片设计、大数据、云计算、智能算法等新一代信息技术产业集群，带动电子信息制造业、软件与信息技术服务业营业收入分别增长10%以上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（牵头领导：武毅；责任单位：区工业和信息化局）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推进产业数字化提档升级，依托百度“双中心”、华为“三个创新中心”等数字开发平台，大力推进智慧物流、电子商务、工业互联网、智能制造等技术创新突破，赋能传统产业转型升级，力争数字经济核心产业规模突破600亿元，打造加速全区高质量跨越式发展的强劲引擎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（牵头领导：武毅；责任单位：区工业和信息化局）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着力促进数字治理能力提升。</w:t>
      </w:r>
      <w:r>
        <w:rPr>
          <w:rFonts w:hint="eastAsia" w:ascii="仿宋_GB2312" w:hAnsi="仿宋_GB2312" w:eastAsia="仿宋_GB2312" w:cs="仿宋_GB2312"/>
          <w:sz w:val="32"/>
          <w:szCs w:val="32"/>
        </w:rPr>
        <w:t>全力打造“一网统管”标杆样板，深入推进社会治理网格化，在解放路、解放东路和部分社区、公园等场所建设多功能智慧杆，构建新型城域物联专网，对标国内一流标准实施区城市运行综合指挥中心升级改造，丰富经济监测、城市管理、应急指挥、民生保障应用场景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（牵头领导：李伟；牵头单位：区城市运行指挥中心；责任单位：区委政法委、区大数据局、区应急管理局、区城市管理局、区工业和信息化局、区商务局、区民政局）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扎实推进经济管理网格化，运用数字孪生、智能决策技术，全面梳理供应链、人才链、资源链、融资链，做实“米均效益”评价体系，为驻区企业、市场主体数字画像、靶向服务，促进区内企业合作共赢，不断提升经济发展内生动力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（牵头领导：洪露；责任单位：区商务局）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深入推进“一网通办”改革，加快建设无证明城市，持续推进“异地通办”“跨省通办”，为企业群众提供用得上、用得起、用得好的信息服务，弥合数字鸿沟、推动数字惠民；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（牵头领导：武毅；牵头单位：区行政审批服务局；责任单位：区大数据局）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做优“云帮办”服务品牌，将帮办代办工作重心从“线下窗口接待”过渡到“线上客服帮办”，实现政务服务“不打烊”，服务品质“不打折”。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（牵头领导：武毅；责任单位：区行政审批服务局）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（四）统筹改革创新和扩大对外开放，塑造强劲活跃发展氛围。</w:t>
      </w:r>
      <w:r>
        <w:rPr>
          <w:rFonts w:hint="eastAsia" w:ascii="仿宋_GB2312" w:hAnsi="仿宋_GB2312" w:eastAsia="仿宋_GB2312" w:cs="仿宋_GB2312"/>
          <w:sz w:val="32"/>
          <w:szCs w:val="32"/>
        </w:rPr>
        <w:t>聚焦体制机制创新，推动“要素红利”“政策红利”逐渐让位于“创新红利”“制度红利”，让经济活力更加深厚、发展动能更加充沛。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扎实推进自贸试验区制度创新。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大胆试、大胆闯、自主创，以改革创新的姿态种好“国家试验田”。主动融入“一带一路”战略，积极搭建外贸综合服务平台，整合外贸公共服务资源，帮扶中小企业拓展国际贸易业务，重点发展信息通信、知识产权、医疗教育、跨境金融等新兴服务贸易，打造国家级专业类特色服务出口基地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（牵头领导：王海清；牵头单位：济南中央商务区管委会；责任单位：区商务局）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积极探索QFLP基金试点路径，创新外资引进模式，瞄准欧美、日韩等方向和高端制造业等领域大力开展项目对接，不断扩大招商版图；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（牵头领导：王海清；牵头单位：济南中央商务区管委会；责任单位：区投资促进局）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做大做强跨境电商产业规模，新落户业内知名企业不少于15家，跨境电商进出口额增长15%以上。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（牵头领导：王海清；牵头单位：济南中央商务区管委会；责任单位：区商务局）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深入落实“双碳”战略，先行先试绿色金融新模式，围绕提升全省碳资产和绿色资产价值开展首创性探索，积极申报气候投融资试点，吸引碳计量、碳交易等相关领域企业落户发展，加快建设全省绿色金融服务聚集区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（牵头领导：王海清；牵头单位：济南中央商务区管委会；责任单位：区发展和改革局、区地方金融监督管理局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楷体_GB2312" w:hAnsi="楷体_GB2312" w:eastAsia="楷体_GB2312" w:cs="楷体_GB2312"/>
          <w:sz w:val="32"/>
          <w:szCs w:val="32"/>
        </w:rPr>
        <w:t>区生态环境分局）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全面落实外商投资负面清单制度，持续深化跨境投资、行业准入等方面体制机制创新，全力打造市场化、法治化、国际化营商环境。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（牵头领导：王海清；牵头单位：济南中央商务区管委会；责任单位：区市场监督管理局、区投资促进局）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纵深推进科创金融改革。</w:t>
      </w:r>
      <w:r>
        <w:rPr>
          <w:rFonts w:hint="eastAsia" w:ascii="仿宋_GB2312" w:hAnsi="仿宋_GB2312" w:eastAsia="仿宋_GB2312" w:cs="仿宋_GB2312"/>
          <w:sz w:val="32"/>
          <w:szCs w:val="32"/>
        </w:rPr>
        <w:t>聚焦金融赋能“双创”，鼓励驻区金融机构设立科创金融专营板块，发行以“双创”为特色的知识产权证券化产品。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（牵头领导：武毅；责任单位：区地方金融监督管理局）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大力培育创新型、高技术企业，全年R&amp;D经费支出增长18%，新增高新技术企业128家，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（牵头领导：洪露；责任单位：区科学技术局）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联合齐鲁银行、青岛银行、北京银行试点推广“高企贷”，对新认定高新技术企业给予信用贷款。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（牵头领导：武毅；牵头单位：区地方金融监督管理局；责任单位：区科学技术局）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聚焦科技赋能金融，积极推进网络数据平台与实体经济的产业链、价值链、供应链相结合，优化金融资源配置，切实降低金融机构运行风险和坏账率，加快建设国家战略级数字创新科技园区，打造国内领先的产业互联网服务平台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（牵头领导：武毅；牵头单位：区工业和信息化局；责任单位：区地方金融监督管理局）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加大上市公司培育力度，新增后备上市企业2家，推动中创中间件主板上市，正中信息转板北交所科创板。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（牵头领导：武毅；牵头单位：区地方金融监督管理局；责任单位：区科学技术局）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全面推广“五位一体”科创金融新生态模式，提升济南科创金融大厦运营服务水平，引入股权投资、风险投资、天使基金等金融服务机构，打造省内知名、全国有影响力的“海右”路演品牌，让金融“活水”更好润泽创新土壤，激活科技“第一生产力”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（牵头领导：武毅；牵头单位：区地方金融监督管理局；责任单位：区科学技术局、历下控股集团）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全力支持民营经济发展。</w:t>
      </w:r>
      <w:r>
        <w:rPr>
          <w:rFonts w:hint="eastAsia" w:ascii="仿宋_GB2312" w:hAnsi="仿宋_GB2312" w:eastAsia="仿宋_GB2312" w:cs="仿宋_GB2312"/>
          <w:sz w:val="32"/>
          <w:szCs w:val="32"/>
        </w:rPr>
        <w:t>始终坚持“两个毫不动摇”，扎实开展助力民营企业发展专项行动。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（牵头领导：武毅；责任单位：区工业和信息化局）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强化金融支持，设立企业融资担保资金池，引导金融机构开展“银政保”业务，建立完善中小企业融资风险补偿机制，切实解决融资难、融资贵问题；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（牵头领导：武毅；牵头单位：区财政局；责任单位：区地方金融监督管理局）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探索合伙人创业贷、投贷联动等新模式，全力支持创新创业。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（牵头领导：武毅；牵头单位：区工业和信息化局；责任单位：区地方金融监督管理局）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强化政策支持，持续开展“送政策进企业”活动，加强各类惠企政策宣传推介，深入推进“免审即享”，建立政策兑现跟踪落实机制。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牵头单位：区工业和信息化局；责任单位：区发展和改革局、区商务局、区人力资源和社会保障局、区科学技术局、区地方金融监督管理局、区文化和旅游局、区行政审批服务局、区市场监督管理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强化市场支持，在政府采购、工程建设领域为民营企业提供公平竞争环境，发挥中小企业发展联盟、金融企业联盟等平台作用，开展企业“牵手行动”，积极搭建产业链、供应链、资金链沟通桥梁。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（牵头领导：武毅；牵头单位：区工业和信息化局；责任单位：区地方金融监督管理局）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数据支持，用好市场主体大数据资源，加快推进“政银企”数据共享、互联互通。强化创新创业环境营造，健全完善政企沟通联络机制，定期举办企业家圆桌会、恳谈会、创客茶吧等活动，邀请投资机构、优秀企业家参与创客大赛、项目路演，留住更多前景好、能落地的创业项目；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（牵头领导：武毅；责任单位：区工业和信息化局）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发挥国有基金平台作用，强化与知名投资机构合作，支持初创企业发展壮大，推进“众创空间-孵化器-加速器-产业园区”全链条孵化体系建设，努力形成大企业“顶天立地”、中小企业“铺天盖地”的良好氛围，将历下打造成为民企投资首选区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（牵头领导：武毅；牵头单位：区工业和信息化局；责任单位：区科学技术局、区人力资源和社会保障局、历下财鑫基金投资集团）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着力提升招商稳商质效。</w:t>
      </w:r>
      <w:r>
        <w:rPr>
          <w:rFonts w:hint="eastAsia" w:ascii="仿宋_GB2312" w:hAnsi="仿宋_GB2312" w:eastAsia="仿宋_GB2312" w:cs="仿宋_GB2312"/>
          <w:sz w:val="32"/>
          <w:szCs w:val="32"/>
        </w:rPr>
        <w:t>围绕产业升级需求、经济贡献需求、城市发展需求，建立健全优选项目评估机制，充分发挥城市合伙人、专家智库等各类资源渠道引流作用，大力开展载体招商、产业链招商、专业机构招商、以商招商。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（牵头领导：洪露；责任单位：区投资促进局）</w:t>
      </w:r>
      <w:r>
        <w:rPr>
          <w:rFonts w:hint="eastAsia" w:ascii="仿宋_GB2312" w:eastAsia="仿宋_GB2312"/>
          <w:sz w:val="32"/>
          <w:szCs w:val="32"/>
        </w:rPr>
        <w:t>建立投行思维，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强化政策引导，列支产业扶持资金15亿元，围绕重点项目落地、行业龙头引进、新兴产业布局精准发力；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bidi="ar"/>
        </w:rPr>
        <w:t>（牵头领导：洪露；牵头单位：区投资促进局；责任单位：区财政局）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再投入3亿元财政资金，做大政府引导基金规模，释放“四两拨千斤”的杠杆效应，创新企业项目引进模式，科学把握资金投向，为产业发展投出未来。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（牵头领导：武毅；牵头单位：区财政局；责任单位：历下财鑫基金投资集团）</w:t>
      </w:r>
      <w:r>
        <w:rPr>
          <w:rFonts w:hint="eastAsia" w:ascii="仿宋_GB2312" w:hAnsi="仿宋_GB2312" w:eastAsia="仿宋_GB2312" w:cs="仿宋_GB2312"/>
          <w:sz w:val="32"/>
          <w:szCs w:val="32"/>
        </w:rPr>
        <w:t>深度参与跨国公司高层对话会、进博会、儒商大会等大型活动，实施国际国内重点城市招商推介行动，扩大“投资历下”影响力。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（牵头领导：洪露；牵头单位：区投资促进局；责任单位：区商务局）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做好驻区省属企业服务保障，积极争取省内重大投资项目落地。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bidi="ar"/>
        </w:rPr>
        <w:t>（牵头领导：洪露；牵头单位：区投资促进局；责任单位：区发展和改革局、区财政局）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牢固树立“不安商等于白招商”的理念，推进“招商服务年”成果制度化，做实做细常态化包联服务机制，推广“泉管家”服务模式，以“面对面”了解情况、“点对点”解答问题的“保姆式”服务，让企业发展能安心、有信心。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bidi="ar"/>
        </w:rPr>
        <w:t>（牵头领导：洪露；牵头单位：区投资促进局；责任单位：济南中央商务区管委会）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打造最优人才发展生态。</w:t>
      </w:r>
      <w:r>
        <w:rPr>
          <w:rFonts w:hint="eastAsia" w:ascii="仿宋_GB2312" w:hAnsi="仿宋_GB2312" w:eastAsia="仿宋_GB2312" w:cs="仿宋_GB2312"/>
          <w:sz w:val="32"/>
          <w:szCs w:val="32"/>
        </w:rPr>
        <w:t>深化“五链”融合，编制高校优势培养专业、企业紧缺人才需求、产业重点攻关项目“三张清单”，启动“名校优才”历下行活动，推动人才链、产业链共促进。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（牵头领导：朱英涛；牵头单位：区委组织部；责任单位：区人力资源和社会保障局）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积极对接山东大学等知名高校，打造校友经济产业园，成立校友会联盟，探索建设成果创业中心，推动人才链、创新链同赋能。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bidi="ar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</w:rPr>
        <w:t>牵头领导：朱英涛；牵头单位：区委组织部；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bidi="ar"/>
        </w:rPr>
        <w:t>责任单位：区科学技术局）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创新人才支持资金“拨改投”模式，加快发展科创引导基金、人才创投基金，实施人才企业上市“登峰计划”，全力支持3-5家领军企业登陆资本市场，推动人才链、资本链互成就。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bidi="ar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</w:rPr>
        <w:t>牵头领导：朱英涛；牵头单位：区委组织部；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bidi="ar"/>
        </w:rPr>
        <w:t>责任单位：区地方金融监督管理局）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成立高层次人才发展促进会，举办历山英才创业营，推出“创无忧”服务礼包，升级线上平台功能，实现人才政策“一网查询”、人才需求“一站受理”、人才服务“一键集成”，推动人才链、服务链共提升。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（牵头领导：朱英涛；牵头单位：区委组织部；责任单位：区人力资源和社会保障局）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（五）统筹精细塑造和全面系统治理，擦亮文明宜居城市名片。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坚持内涵式、集约型、绿色化城市治理路径，围绕省会建设要求、群众热切诉求、城市发展需求用心用力，提升中心城区魅力活力竞争力。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加快完善城市功能配套。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实施明湖东路、黄台南路、轻风路整治提升，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（牵头领导：于杰；责任单位：区市政工程服务中心）</w:t>
      </w:r>
      <w:r>
        <w:rPr>
          <w:rFonts w:hint="eastAsia" w:ascii="仿宋_GB2312" w:hAnsi="仿宋_GB2312" w:eastAsia="仿宋_GB2312" w:cs="仿宋_GB2312"/>
          <w:sz w:val="32"/>
          <w:szCs w:val="32"/>
        </w:rPr>
        <w:t>新建兴发东巷、仁智街边沟桥梁，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（牵头领导：于杰；责任单位：区市政工程服务中心）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保障轨道交通4号线、6号线、7号线加快建设，不断优化区域交通体系。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（牵头领导：于杰；责任单位：区市政工程服务中心）</w:t>
      </w:r>
      <w:r>
        <w:rPr>
          <w:rFonts w:hint="eastAsia" w:ascii="仿宋_GB2312" w:hAnsi="仿宋_GB2312" w:eastAsia="仿宋_GB2312" w:cs="仿宋_GB2312"/>
          <w:sz w:val="32"/>
          <w:szCs w:val="32"/>
        </w:rPr>
        <w:t>启动山水沟生态提升工程，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（牵头领导：于杰；责任单位：区水务局）</w:t>
      </w:r>
      <w:r>
        <w:rPr>
          <w:rFonts w:ascii="仿宋_GB2312" w:hAnsi="宋体" w:eastAsia="仿宋_GB2312" w:cs="仿宋_GB2312"/>
          <w:kern w:val="0"/>
          <w:sz w:val="32"/>
          <w:szCs w:val="32"/>
          <w:lang w:bidi="ar"/>
        </w:rPr>
        <w:t>强化辖区25条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bidi="ar"/>
        </w:rPr>
        <w:t>河道内源治理，严查河道隐患，更新河道安全设施，保持长治久清，</w:t>
      </w:r>
      <w:r>
        <w:rPr>
          <w:rFonts w:hint="eastAsia" w:ascii="仿宋_GB2312" w:hAnsi="仿宋_GB2312" w:eastAsia="仿宋_GB2312" w:cs="仿宋_GB2312"/>
          <w:sz w:val="32"/>
          <w:szCs w:val="32"/>
        </w:rPr>
        <w:t>为居民群众提供更多河边漫步的好去处。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（牵头领导：于杰；责任单位：区水务局）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梳理全区杆线整治、停车设施、街巷更新需求，包装策划政府专项债券项目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bidi="ar"/>
        </w:rPr>
        <w:t>，抓好佛山苑等24处老旧小区改造提升，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bidi="ar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</w:rPr>
        <w:t>牵头领导：赵冬梅；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bidi="ar"/>
        </w:rPr>
        <w:t>牵头单位：区住房和城市建设局；责任单位：</w:t>
      </w:r>
      <w:r>
        <w:rPr>
          <w:rFonts w:hint="eastAsia" w:ascii="楷体_GB2312" w:hAnsi="楷体_GB2312" w:eastAsia="楷体_GB2312" w:cs="楷体_GB2312"/>
          <w:sz w:val="32"/>
          <w:szCs w:val="32"/>
        </w:rPr>
        <w:t>历下城市发展集团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bidi="ar"/>
        </w:rPr>
        <w:t>）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bidi="ar"/>
        </w:rPr>
        <w:t>合理布点菜市场、便利店等</w:t>
      </w:r>
      <w:r>
        <w:rPr>
          <w:rFonts w:hint="eastAsia" w:ascii="仿宋_GB2312" w:hAnsi="仿宋_GB2312" w:eastAsia="仿宋_GB2312" w:cs="仿宋_GB2312"/>
          <w:sz w:val="32"/>
          <w:szCs w:val="32"/>
        </w:rPr>
        <w:t>各类便民服务设施，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bidi="ar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</w:rPr>
        <w:t>牵头领导：洪露；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bidi="ar"/>
        </w:rPr>
        <w:t>责任单位：区商务局）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留住坊间烟火气。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大力整治城市管理顽疾。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强化城市管理日常巡查执法，严查违法违章建设，重拳整治城市“八乱”，维护良好市容秩序。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（牵头领导：于杰；责任单位:区城市管理局）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深化交通拥堵治理，用好高德、百度交通数据，分析拥堵指数和群众诉求，制定“一路口一方案”，优化调整信号配时、增设潮汐车道，切实提升通行效率。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（牵头领导：于杰；责任单位:区交警大队）</w:t>
      </w:r>
      <w:r>
        <w:rPr>
          <w:rFonts w:hint="eastAsia" w:ascii="仿宋_GB2312" w:hAnsi="仿宋_GB2312" w:eastAsia="仿宋_GB2312" w:cs="仿宋_GB2312"/>
          <w:sz w:val="32"/>
          <w:szCs w:val="32"/>
        </w:rPr>
        <w:t>加快实施历山路以西千佛山片区、历园片区雨污水管网改造工程，着力解决老旧小区污水冒溢直排问题。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（牵头领导：于杰；责任单位:区水务局）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深入开展群租房、网约房整治，强化协调联动、综合执法、群众参与，落实物业管理责任，严厉打击黑中介，为居民营造舒心安心不堵心的良好居住环境。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（牵头领导：赵冬梅；牵头单位：区住房和城市建设局；责任单位:区公安分局、区消防救援大队、区城市管理局、各街道办事处）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狠抓生态环境综合治理。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坚持把良好的生态环境作为最普惠的民生福祉，积极创建全国“两山”创新实践基地。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（牵头领导：于杰；责任单位:区生态环境分局）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守护好蓝天碧水和青山净土，强化大气污染综合治理，紧盯道路、工地、移动源等重点源头，实施大气细颗粒物和臭氧污染协同控制；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（牵头领导：于杰；牵头单位：区生态环境分局；责任单位:区住房和城市建设局、区城市管理局、区交警大队、区市政工程服务中心）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完成自备井封停任务，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（牵头领导：于杰；责任单位:区水务局）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加强流域水环境监测预警，严查违法排污行为，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（牵头领导：于杰；责任单位:区生态环境分局）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持续巩固黑臭水体治理成效；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（牵头领导：于杰；责任单位：区水务局）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对莲花山遗留废弃矿山、洪山西北侧边坡等地质灾害隐患及破损山体进行治理，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（牵头领导：赵冬梅；责任单位:区自然资源局）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定期开展土壤污染排查。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（牵头领导：于杰；牵头单位：区生态环境分局；责任单位:区自然资源局）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突出生态优先绿色低碳发展，加快</w:t>
      </w:r>
      <w:r>
        <w:rPr>
          <w:rFonts w:ascii="仿宋_GB2312" w:hAnsi="仿宋_GB2312" w:eastAsia="仿宋_GB2312" w:cs="仿宋_GB2312"/>
          <w:sz w:val="32"/>
          <w:szCs w:val="32"/>
        </w:rPr>
        <w:t>屋顶分布式光伏项目建设，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（牵头领导：于杰；责任单位:区发展和改革局）</w:t>
      </w:r>
      <w:r>
        <w:rPr>
          <w:rFonts w:hint="eastAsia" w:ascii="仿宋_GB2312" w:eastAsia="仿宋_GB2312" w:cs="Times New Roman"/>
          <w:sz w:val="32"/>
          <w:szCs w:val="32"/>
        </w:rPr>
        <w:t>实施160万平方米既有建筑节能改造。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（牵头领导：赵冬梅；责任单位:区住房和城市建设局）</w:t>
      </w:r>
      <w:r>
        <w:rPr>
          <w:rFonts w:hint="eastAsia" w:ascii="仿宋_GB2312" w:eastAsia="仿宋_GB2312" w:cs="Times New Roman"/>
          <w:sz w:val="32"/>
          <w:szCs w:val="32"/>
        </w:rPr>
        <w:t>大力推进绿化美化，新建历山东路游园、旅游路线性公园等6座城市公园，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（牵头领导：于杰；责任单位:区园林绿化服务中心）</w:t>
      </w:r>
      <w:r>
        <w:rPr>
          <w:rFonts w:hint="eastAsia" w:ascii="仿宋_GB2312" w:eastAsia="仿宋_GB2312" w:cs="Times New Roman"/>
          <w:sz w:val="32"/>
          <w:szCs w:val="32"/>
        </w:rPr>
        <w:t>打造老君崖皂荚园等6处古树公园，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（牵头领导：于杰；责任单位:区园林绿化服务中心）</w:t>
      </w:r>
      <w:r>
        <w:rPr>
          <w:rFonts w:hint="eastAsia" w:ascii="仿宋_GB2312" w:eastAsia="仿宋_GB2312" w:cs="Times New Roman"/>
          <w:sz w:val="32"/>
          <w:szCs w:val="32"/>
        </w:rPr>
        <w:t>围绕龙鼎滨水公园、中央绸带公园打造7公里彩色慢行绿道，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（牵头领导：于杰；责任单位:区园林绿化服务中心）</w:t>
      </w:r>
      <w:r>
        <w:rPr>
          <w:rFonts w:hint="eastAsia" w:ascii="仿宋_GB2312" w:hAnsi="仿宋_GB2312" w:eastAsia="仿宋_GB2312" w:cs="仿宋_GB2312"/>
          <w:sz w:val="32"/>
          <w:szCs w:val="32"/>
        </w:rPr>
        <w:t>让更多群众切实感受到生态环境质量改善，推动绿水青山“生态颜值”和人民生活“幸福指数”同步提升。</w:t>
      </w:r>
    </w:p>
    <w:p>
      <w:pPr>
        <w:spacing w:line="560" w:lineRule="exact"/>
        <w:ind w:firstLine="640" w:firstLineChars="200"/>
        <w:rPr>
          <w:rFonts w:ascii="楷体_GB2312" w:hAnsi="楷体_GB2312" w:eastAsia="仿宋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（六）统筹民生保障和社会治理创新，打造共同富裕示范样板。</w:t>
      </w:r>
      <w:r>
        <w:rPr>
          <w:rFonts w:hint="eastAsia" w:ascii="仿宋_GB2312" w:eastAsia="仿宋_GB2312"/>
          <w:kern w:val="0"/>
          <w:sz w:val="32"/>
          <w:szCs w:val="32"/>
        </w:rPr>
        <w:t>全力推进普惠性、基础性、兜底性民生建设，不断提高基本公共服务水平和治理效能，努力构建文明善治的幸福历下。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织密扎牢民生保障网。</w:t>
      </w:r>
      <w:r>
        <w:rPr>
          <w:rFonts w:hint="eastAsia" w:ascii="仿宋_GB2312" w:eastAsia="仿宋_GB2312"/>
          <w:kern w:val="0"/>
          <w:sz w:val="32"/>
          <w:szCs w:val="32"/>
        </w:rPr>
        <w:t>抓好低保、大病等困难群体帮扶救助，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（牵头领导：王若曦、李伟；责任单位:区医疗保障局、区民政局）</w:t>
      </w:r>
      <w:r>
        <w:rPr>
          <w:rFonts w:hint="eastAsia" w:ascii="仿宋_GB2312" w:eastAsia="仿宋_GB2312"/>
          <w:kern w:val="0"/>
          <w:sz w:val="32"/>
          <w:szCs w:val="32"/>
        </w:rPr>
        <w:t>关心关爱残疾人，积极</w:t>
      </w:r>
      <w:r>
        <w:rPr>
          <w:rFonts w:hint="eastAsia" w:ascii="仿宋_GB2312" w:hAnsi="仿宋_GB2312" w:eastAsia="仿宋_GB2312" w:cs="仿宋_GB2312"/>
          <w:sz w:val="32"/>
          <w:szCs w:val="32"/>
        </w:rPr>
        <w:t>创建全国残疾人服务工作示范区；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（牵头领导：李伟；责任单位:区残联）</w:t>
      </w:r>
      <w:r>
        <w:rPr>
          <w:rFonts w:hint="eastAsia" w:ascii="仿宋_GB2312" w:eastAsia="仿宋_GB2312"/>
          <w:kern w:val="0"/>
          <w:sz w:val="32"/>
          <w:szCs w:val="32"/>
        </w:rPr>
        <w:t>认真落实退役军人优抚政策，助力济南</w:t>
      </w:r>
      <w:r>
        <w:rPr>
          <w:rFonts w:hint="eastAsia" w:ascii="仿宋_GB2312" w:hAnsi="仿宋_GB2312" w:eastAsia="仿宋_GB2312" w:cs="仿宋_GB2312"/>
          <w:sz w:val="32"/>
          <w:szCs w:val="32"/>
        </w:rPr>
        <w:t>争创全国双拥模范城。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（牵头领导：李伟；责任单位:区退役军人事务局）</w:t>
      </w:r>
      <w:r>
        <w:rPr>
          <w:rFonts w:hint="eastAsia" w:ascii="仿宋_GB2312" w:eastAsia="仿宋_GB2312"/>
          <w:sz w:val="32"/>
          <w:szCs w:val="32"/>
        </w:rPr>
        <w:t>加快区级养老中心建成投用，为入住老人提供长期照护、康复促进等全周期服务；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（牵头领导：李伟；责任单位:区民政局）</w:t>
      </w:r>
      <w:r>
        <w:rPr>
          <w:rFonts w:hint="eastAsia" w:ascii="仿宋_GB2312" w:eastAsia="仿宋_GB2312"/>
          <w:sz w:val="32"/>
          <w:szCs w:val="32"/>
        </w:rPr>
        <w:t>整合养老机构和社会化服务资源，打造“亲情E联”升级版。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（牵头领导：李伟；责任单位:区民政局）</w:t>
      </w:r>
      <w:r>
        <w:rPr>
          <w:rFonts w:hint="eastAsia" w:ascii="仿宋_GB2312" w:eastAsia="仿宋_GB2312"/>
          <w:sz w:val="32"/>
          <w:szCs w:val="32"/>
        </w:rPr>
        <w:t>丰富医保电子凭证应用场景，方便群众就医用药。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（牵头领导：王若曦；责任单位:区医疗保障局）</w:t>
      </w:r>
      <w:r>
        <w:rPr>
          <w:rFonts w:hint="eastAsia" w:ascii="仿宋_GB2312" w:eastAsia="仿宋_GB2312"/>
          <w:sz w:val="32"/>
          <w:szCs w:val="32"/>
        </w:rPr>
        <w:t>为中低收入困难家庭、新就业职工等群体发放住房补贴，新增保障性租赁住房4100套，让更多群众圆安居梦。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（牵头领导：赵冬梅；责任单位:区住房和城市建设局）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推动教育事业不断进步。</w:t>
      </w:r>
      <w:r>
        <w:rPr>
          <w:rFonts w:hint="eastAsia" w:ascii="仿宋_GB2312" w:hAnsi="仿宋_GB2312" w:eastAsia="仿宋_GB2312" w:cs="仿宋_GB2312"/>
          <w:sz w:val="32"/>
          <w:szCs w:val="32"/>
        </w:rPr>
        <w:t>大力促进优质教育资源普惠均衡，新建、改扩建中小学幼儿园10处，增加学位6630个；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（牵头领导：王若曦；责任单位:区教育和体育局）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新成立6个名校长工作室，评选百名优秀班主任、教学能手和优秀教师，着力提升教育教学水平；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（牵头领导：王若曦；责任单位:区教育和体育局）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坚持立德树人根本任务，深化新时代学校思政课改革创新，广泛开展公益讲座和课后延时服务，不断提高学生的综合素养、人文底蕴和历史自信，把教育办成老百姓想要的样子。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（牵头领导：王若曦；责任单位:区教育和体育局）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持续加快文化繁荣发展。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文化立区战略，大力发展文化事业，推进区文化馆、图书馆智慧化提升，打造“可听、可看、可读、可体验”的文化会客厅，做好《历下通览》编纂工作，办好各类文化惠民和精品民俗节庆活动，丰富群众文化生活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（牵头领导：李伟；责任单位:区文化和旅游局、区委党史研究中心）</w:t>
      </w:r>
      <w:r>
        <w:rPr>
          <w:rFonts w:hint="eastAsia" w:ascii="仿宋_GB2312" w:hAnsi="仿宋_GB2312" w:eastAsia="仿宋_GB2312" w:cs="仿宋_GB2312"/>
          <w:sz w:val="32"/>
          <w:szCs w:val="32"/>
        </w:rPr>
        <w:t>大力推进文旅融合发展，发挥“山东手造”（济南）展示体验中心带动作用，下大力气开发古城、泉水、非遗等主题体验产品，借助文博会、非遗博览会等平台，用活用好新媒体，多维度构建历下品牌传播矩阵，提升城区影响力和知名度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（牵头领导：李伟；牵头单位：区文化和旅游局；责任单位:济南古城保护和发展中心、历下控股集团）</w:t>
      </w:r>
      <w:r>
        <w:rPr>
          <w:rFonts w:hint="eastAsia" w:ascii="仿宋_GB2312" w:hAnsi="仿宋_GB2312" w:eastAsia="仿宋_GB2312" w:cs="仿宋_GB2312"/>
          <w:sz w:val="32"/>
          <w:szCs w:val="32"/>
        </w:rPr>
        <w:t>做优文化广告创意产业园，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（牵头领导：武毅；责任单位：区市场监督管理局）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加快“丽山系”园区品牌塑造，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（牵头领导：赵冬梅；责任单位:历下控股集团）</w:t>
      </w:r>
      <w:r>
        <w:rPr>
          <w:rFonts w:hint="eastAsia" w:ascii="仿宋_GB2312" w:hAnsi="仿宋_GB2312" w:eastAsia="仿宋_GB2312" w:cs="仿宋_GB2312"/>
          <w:sz w:val="32"/>
          <w:szCs w:val="32"/>
        </w:rPr>
        <w:t>大力发展艺术品交易展览、文创产品、电竞动漫、创意设计等相关产业，加快打造更具影响力、吸引力的文化产业集聚发展新高地。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（牵头领导：李伟；责任单位：区文化和旅游局）</w:t>
      </w:r>
      <w:r>
        <w:rPr>
          <w:rFonts w:hint="eastAsia" w:ascii="仿宋_GB2312" w:hAnsi="仿宋_GB2312" w:eastAsia="仿宋_GB2312" w:cs="仿宋_GB2312"/>
          <w:sz w:val="32"/>
          <w:szCs w:val="32"/>
        </w:rPr>
        <w:t>深入推进文明典范城市创建，开展“学先进树典型促发展”主题活动，弘扬文明风尚，凝聚奋进力量。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（牵头领导：区有关领导；责任单位：区委宣传部）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提升基层社会治理效能。</w:t>
      </w:r>
      <w:r>
        <w:rPr>
          <w:rFonts w:hint="eastAsia" w:ascii="仿宋_GB2312" w:eastAsia="仿宋_GB2312"/>
          <w:sz w:val="32"/>
          <w:szCs w:val="32"/>
        </w:rPr>
        <w:t>建设社区治理学院，打造“红心领航”社会组织党建品牌，推动社区基金街道层面全覆盖，实现社区治理服务升级。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bidi="ar"/>
        </w:rPr>
        <w:t>（牵头领导：李伟；责任单位：区民政局）</w:t>
      </w:r>
      <w:r>
        <w:rPr>
          <w:rFonts w:hint="eastAsia" w:ascii="仿宋_GB2312" w:eastAsia="仿宋_GB2312"/>
          <w:sz w:val="32"/>
          <w:szCs w:val="32"/>
        </w:rPr>
        <w:t>建立健全网格事项准入机制，强化社区网格员培训管理，打造一支平时能服务、战时能攻坚的网格员队伍。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（牵头领导：毕经海；牵头单位：区委政法委；责任单位：区民政局）</w:t>
      </w:r>
      <w:r>
        <w:rPr>
          <w:rFonts w:hint="eastAsia" w:ascii="仿宋_GB2312" w:eastAsia="仿宋_GB2312"/>
          <w:sz w:val="32"/>
          <w:szCs w:val="32"/>
        </w:rPr>
        <w:t>探索将法律服务力量融入社区网格，为网格员配上“法律顾问”，建立法治赋能服务事项清单。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（牵头领导：李伟；牵头单位：区司法局；责任单位：区委政法委）</w:t>
      </w:r>
      <w:r>
        <w:rPr>
          <w:rFonts w:hint="eastAsia" w:ascii="仿宋_GB2312" w:eastAsia="仿宋_GB2312"/>
          <w:sz w:val="32"/>
          <w:szCs w:val="32"/>
        </w:rPr>
        <w:t>用好自媒体、新媒体平台，开展精准普法宣传，着力提高居民群众法治素养。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（牵头领导：李伟；责任单位：区司法局）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扎实做好第五次全国经济普查，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（牵头领导：武毅；责任单位：区统计局）</w:t>
      </w:r>
      <w:r>
        <w:rPr>
          <w:rFonts w:hint="eastAsia" w:ascii="仿宋_GB2312" w:eastAsia="仿宋_GB2312"/>
          <w:sz w:val="32"/>
          <w:szCs w:val="32"/>
        </w:rPr>
        <w:t>支持工会、共青团、妇联、红十字会等人民团体广泛参与社会治理和公共服务，认真做好民族宗教、人民防空、档案保密、外事侨务等工作。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新征程是充满光荣和梦想的远征。在前进的道路上，我们将紧扣新时代党的建设总要求，大力弘扬伟大建党精神，持续加强政府自身建设，切实提升政府效能。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以政治建设引领前进航向。</w:t>
      </w:r>
      <w:r>
        <w:rPr>
          <w:rFonts w:hint="eastAsia" w:ascii="仿宋_GB2312" w:eastAsia="仿宋_GB2312"/>
          <w:sz w:val="32"/>
          <w:szCs w:val="32"/>
        </w:rPr>
        <w:t>始终坚持以习近平新时代中国特色社会主义思想为指导，把学习贯彻党的二十大精神作为最重要的政治任务，深刻领悟“两个确立”的决定性意义，牢记“国之大者”，增强“四个意识”、坚定“四个自信”、做到“两个维护”，切实提高政治判断力、政治领悟力、政治执行力，</w:t>
      </w:r>
      <w:r>
        <w:rPr>
          <w:rFonts w:hint="eastAsia" w:ascii="仿宋_GB2312" w:hAnsi="Times New Roman" w:eastAsia="仿宋_GB2312" w:cs="Times New Roman"/>
          <w:sz w:val="32"/>
          <w:szCs w:val="32"/>
        </w:rPr>
        <w:t>以实际行动推动党的二十大精神在历下落地落实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以敬畏之心树牢法治信仰。</w:t>
      </w:r>
      <w:r>
        <w:rPr>
          <w:rFonts w:hint="eastAsia" w:ascii="仿宋_GB2312" w:eastAsia="仿宋_GB2312"/>
          <w:sz w:val="32"/>
          <w:szCs w:val="32"/>
        </w:rPr>
        <w:t>坚决贯彻习近平法治思想，坚持政府规章制定有准度、权力运行有法度、严格执法有力度，全力创建全国法治政府建设示范区。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（牵头领导：李伟；责任单位：区司法局）</w:t>
      </w:r>
      <w:r>
        <w:rPr>
          <w:rFonts w:hint="eastAsia" w:ascii="仿宋_GB2312" w:eastAsia="仿宋_GB2312"/>
          <w:sz w:val="32"/>
          <w:szCs w:val="32"/>
        </w:rPr>
        <w:t>认真落实重大行政决策程序规定，自觉接受人大法律监督、政协民主监督，主动接受司法监督、群众监督、舆论监督。加强政府信息公开，全面提升政务公开质量时效，不断提高政府公信力。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（牵头领导：武毅；责任单位：区政府办公室）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以过硬作风建设廉洁政府。</w:t>
      </w:r>
      <w:r>
        <w:rPr>
          <w:rFonts w:hint="eastAsia" w:ascii="仿宋_GB2312" w:eastAsia="仿宋_GB2312"/>
          <w:sz w:val="32"/>
          <w:szCs w:val="32"/>
        </w:rPr>
        <w:t>进一步增强坚定不移全面从严治党的政治定力，推动政府系统党风廉政建设持续走深走实，深入贯彻中央八项规定及其实施细则精神，重点纠治形式主义、官僚主义顽疾，始终保持清正廉洁的政府形象。持续推进审计监督全覆盖，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（牵头领导：王若曦；责任单位：区审计局）</w:t>
      </w:r>
      <w:r>
        <w:rPr>
          <w:rFonts w:hint="eastAsia" w:ascii="仿宋_GB2312" w:eastAsia="仿宋_GB2312"/>
          <w:sz w:val="32"/>
          <w:szCs w:val="32"/>
        </w:rPr>
        <w:t>大力压缩一般性支出，从严从紧抓好预算执行，扎紧政府花钱的口子，放宽助企惠民的路子。</w:t>
      </w:r>
      <w:r>
        <w:rPr>
          <w:rFonts w:hint="eastAsia" w:ascii="楷体_GB2312" w:hAnsi="楷体_GB2312" w:eastAsia="楷体_GB2312" w:cs="楷体_GB2312"/>
          <w:sz w:val="32"/>
          <w:szCs w:val="32"/>
        </w:rPr>
        <w:t>（牵头领导：武毅；责任单位：区财政局）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以人民情怀扛起使命担当。</w:t>
      </w:r>
      <w:r>
        <w:rPr>
          <w:rFonts w:hint="eastAsia" w:ascii="仿宋_GB2312" w:hAnsi="Times New Roman" w:eastAsia="仿宋_GB2312" w:cs="Times New Roman"/>
          <w:sz w:val="32"/>
          <w:szCs w:val="32"/>
        </w:rPr>
        <w:t>始终把人民放在心中最高位置，恪守人民情怀，“</w:t>
      </w:r>
      <w:r>
        <w:rPr>
          <w:rFonts w:ascii="仿宋_GB2312" w:hAnsi="Times New Roman" w:eastAsia="仿宋_GB2312" w:cs="Times New Roman"/>
          <w:sz w:val="32"/>
          <w:szCs w:val="32"/>
        </w:rPr>
        <w:t>做事</w:t>
      </w:r>
      <w:r>
        <w:rPr>
          <w:rFonts w:hint="eastAsia" w:ascii="仿宋_GB2312" w:hAnsi="Times New Roman" w:eastAsia="仿宋_GB2312" w:cs="Times New Roman"/>
          <w:sz w:val="32"/>
          <w:szCs w:val="32"/>
        </w:rPr>
        <w:t>”不“作秀”，“造福”不“造势”，重“里子”不重“面子”。</w:t>
      </w:r>
      <w:r>
        <w:rPr>
          <w:rFonts w:hint="eastAsia" w:ascii="仿宋_GB2312" w:eastAsia="仿宋_GB2312" w:cs="Times New Roman"/>
          <w:sz w:val="32"/>
          <w:szCs w:val="32"/>
        </w:rPr>
        <w:t>努力</w:t>
      </w:r>
      <w:r>
        <w:rPr>
          <w:rFonts w:hint="eastAsia" w:ascii="仿宋_GB2312" w:hAnsi="Times New Roman" w:eastAsia="仿宋_GB2312" w:cs="Times New Roman"/>
          <w:sz w:val="32"/>
          <w:szCs w:val="32"/>
        </w:rPr>
        <w:t>解决好群众急难愁盼问题，把依靠人民、造福人民、植根人民化为切实行动</w:t>
      </w:r>
      <w:r>
        <w:rPr>
          <w:rFonts w:ascii="仿宋_GB2312" w:hAnsi="Times New Roman" w:eastAsia="仿宋_GB2312" w:cs="Times New Roman"/>
          <w:sz w:val="32"/>
          <w:szCs w:val="32"/>
        </w:rPr>
        <w:t>，保</w:t>
      </w:r>
      <w:r>
        <w:rPr>
          <w:rFonts w:hint="eastAsia" w:ascii="仿宋_GB2312" w:hAnsi="Times New Roman" w:eastAsia="仿宋_GB2312" w:cs="Times New Roman"/>
          <w:sz w:val="32"/>
          <w:szCs w:val="32"/>
        </w:rPr>
        <w:t>持“一刻也不能停，一步也不能</w:t>
      </w:r>
      <w:r>
        <w:rPr>
          <w:rFonts w:hint="eastAsia" w:ascii="仿宋_GB2312" w:eastAsia="仿宋_GB2312" w:cs="Times New Roman"/>
          <w:sz w:val="32"/>
          <w:szCs w:val="32"/>
        </w:rPr>
        <w:t>慢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，一天也误不起”</w:t>
      </w:r>
      <w:r>
        <w:rPr>
          <w:rFonts w:ascii="仿宋_GB2312" w:hAnsi="Times New Roman" w:eastAsia="仿宋_GB2312" w:cs="Times New Roman"/>
          <w:sz w:val="32"/>
          <w:szCs w:val="32"/>
        </w:rPr>
        <w:t>的责任感紧迫感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，以咬定青山不放松的执着奋力完成任务目标，让国际化一流中心城区建设成果更多更公平惠及全体人民。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2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98" w:right="1588" w:bottom="2098" w:left="1588" w:header="851" w:footer="1644" w:gutter="0"/>
          <w:pgNumType w:fmt="numberInDash"/>
          <w:cols w:space="425" w:num="1"/>
          <w:docGrid w:type="lines" w:linePitch="312" w:charSpace="0"/>
        </w:sectPr>
      </w:pPr>
    </w:p>
    <w:p>
      <w:pPr>
        <w:spacing w:line="480" w:lineRule="exact"/>
        <w:ind w:firstLine="420" w:firstLineChars="200"/>
      </w:pPr>
    </w:p>
    <w:sectPr>
      <w:footerReference r:id="rId5" w:type="even"/>
      <w:pgSz w:w="11906" w:h="16838"/>
      <w:pgMar w:top="2098" w:right="1588" w:bottom="2098" w:left="1588" w:header="851" w:footer="164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&lt;p&gt;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04727862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8"/>
          <w:ind w:right="180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21051159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8"/>
          <w:ind w:firstLine="180" w:firstLineChars="100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24 -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280" w:firstLineChars="100"/>
      <w:rPr>
        <w:rFonts w:asciiTheme="majorEastAsia" w:hAnsiTheme="majorEastAsia" w:eastAsiaTheme="majorEastAsia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evenAndOddHeaders w:val="1"/>
  <w:drawingGridHorizontalSpacing w:val="112"/>
  <w:drawingGridVerticalSpacing w:val="26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5E6"/>
    <w:rsid w:val="000179EC"/>
    <w:rsid w:val="00020D3A"/>
    <w:rsid w:val="0004478D"/>
    <w:rsid w:val="00044CF1"/>
    <w:rsid w:val="000503AD"/>
    <w:rsid w:val="000504A5"/>
    <w:rsid w:val="0005053A"/>
    <w:rsid w:val="00050EDB"/>
    <w:rsid w:val="00051B32"/>
    <w:rsid w:val="0005253D"/>
    <w:rsid w:val="00054C02"/>
    <w:rsid w:val="0005564E"/>
    <w:rsid w:val="00060D08"/>
    <w:rsid w:val="00063505"/>
    <w:rsid w:val="00065DEF"/>
    <w:rsid w:val="00066EF1"/>
    <w:rsid w:val="00077C78"/>
    <w:rsid w:val="000821EC"/>
    <w:rsid w:val="000833B8"/>
    <w:rsid w:val="000919A8"/>
    <w:rsid w:val="00097376"/>
    <w:rsid w:val="000A2781"/>
    <w:rsid w:val="000A388C"/>
    <w:rsid w:val="000B2301"/>
    <w:rsid w:val="000B2B99"/>
    <w:rsid w:val="000B37E2"/>
    <w:rsid w:val="000B54AF"/>
    <w:rsid w:val="000C7F7E"/>
    <w:rsid w:val="000D1E6C"/>
    <w:rsid w:val="000D3EE2"/>
    <w:rsid w:val="000E5FC7"/>
    <w:rsid w:val="000F31B0"/>
    <w:rsid w:val="00101E1F"/>
    <w:rsid w:val="00102D7E"/>
    <w:rsid w:val="001048A4"/>
    <w:rsid w:val="001133F6"/>
    <w:rsid w:val="001137DC"/>
    <w:rsid w:val="00114918"/>
    <w:rsid w:val="00116F82"/>
    <w:rsid w:val="001176E4"/>
    <w:rsid w:val="00120F34"/>
    <w:rsid w:val="001266A2"/>
    <w:rsid w:val="0013217D"/>
    <w:rsid w:val="00133244"/>
    <w:rsid w:val="00135EEA"/>
    <w:rsid w:val="00136A15"/>
    <w:rsid w:val="00140207"/>
    <w:rsid w:val="001404D1"/>
    <w:rsid w:val="0014248C"/>
    <w:rsid w:val="00142E11"/>
    <w:rsid w:val="00145483"/>
    <w:rsid w:val="001476F9"/>
    <w:rsid w:val="00150BA9"/>
    <w:rsid w:val="001600C6"/>
    <w:rsid w:val="0016589D"/>
    <w:rsid w:val="0016649A"/>
    <w:rsid w:val="00175A1A"/>
    <w:rsid w:val="00190855"/>
    <w:rsid w:val="00194045"/>
    <w:rsid w:val="001944E4"/>
    <w:rsid w:val="00197A7B"/>
    <w:rsid w:val="00197CE0"/>
    <w:rsid w:val="001A0F8F"/>
    <w:rsid w:val="001A2B0A"/>
    <w:rsid w:val="001A5227"/>
    <w:rsid w:val="001A6AEA"/>
    <w:rsid w:val="001B1551"/>
    <w:rsid w:val="001B6361"/>
    <w:rsid w:val="001B7185"/>
    <w:rsid w:val="001C0D6F"/>
    <w:rsid w:val="001C286F"/>
    <w:rsid w:val="001D2EEE"/>
    <w:rsid w:val="001D4721"/>
    <w:rsid w:val="001D6A68"/>
    <w:rsid w:val="001F5809"/>
    <w:rsid w:val="00203F2F"/>
    <w:rsid w:val="00204569"/>
    <w:rsid w:val="0020497F"/>
    <w:rsid w:val="00204F2D"/>
    <w:rsid w:val="00207916"/>
    <w:rsid w:val="00220198"/>
    <w:rsid w:val="00221739"/>
    <w:rsid w:val="00232109"/>
    <w:rsid w:val="00232BDE"/>
    <w:rsid w:val="00240595"/>
    <w:rsid w:val="00241CC0"/>
    <w:rsid w:val="00244CD1"/>
    <w:rsid w:val="00262198"/>
    <w:rsid w:val="00262B67"/>
    <w:rsid w:val="00263C11"/>
    <w:rsid w:val="00263DD0"/>
    <w:rsid w:val="00267408"/>
    <w:rsid w:val="0027005F"/>
    <w:rsid w:val="002702C3"/>
    <w:rsid w:val="002742B7"/>
    <w:rsid w:val="00275F88"/>
    <w:rsid w:val="00280687"/>
    <w:rsid w:val="0028091A"/>
    <w:rsid w:val="002841D9"/>
    <w:rsid w:val="00287865"/>
    <w:rsid w:val="00295BF0"/>
    <w:rsid w:val="00296081"/>
    <w:rsid w:val="002A235B"/>
    <w:rsid w:val="002A610B"/>
    <w:rsid w:val="002B1C1C"/>
    <w:rsid w:val="002C2EFF"/>
    <w:rsid w:val="002C39E9"/>
    <w:rsid w:val="002C74C1"/>
    <w:rsid w:val="002D20E6"/>
    <w:rsid w:val="002D36D1"/>
    <w:rsid w:val="002D40FC"/>
    <w:rsid w:val="002D5809"/>
    <w:rsid w:val="002D6493"/>
    <w:rsid w:val="002D6CFB"/>
    <w:rsid w:val="002E1090"/>
    <w:rsid w:val="002E128D"/>
    <w:rsid w:val="002E2152"/>
    <w:rsid w:val="002E5E83"/>
    <w:rsid w:val="002E76A6"/>
    <w:rsid w:val="002E7928"/>
    <w:rsid w:val="002F56FE"/>
    <w:rsid w:val="002F6C07"/>
    <w:rsid w:val="002F7CD6"/>
    <w:rsid w:val="00301D7F"/>
    <w:rsid w:val="00314C36"/>
    <w:rsid w:val="00316E1C"/>
    <w:rsid w:val="00331CEE"/>
    <w:rsid w:val="00333F9E"/>
    <w:rsid w:val="00334DAF"/>
    <w:rsid w:val="003353E2"/>
    <w:rsid w:val="0034066F"/>
    <w:rsid w:val="0034081C"/>
    <w:rsid w:val="003413F9"/>
    <w:rsid w:val="0034600B"/>
    <w:rsid w:val="00346363"/>
    <w:rsid w:val="0035420F"/>
    <w:rsid w:val="00361288"/>
    <w:rsid w:val="00361C42"/>
    <w:rsid w:val="003622FA"/>
    <w:rsid w:val="00363297"/>
    <w:rsid w:val="00364853"/>
    <w:rsid w:val="003712EE"/>
    <w:rsid w:val="0037540B"/>
    <w:rsid w:val="00376812"/>
    <w:rsid w:val="00380A28"/>
    <w:rsid w:val="003823CB"/>
    <w:rsid w:val="00382D8D"/>
    <w:rsid w:val="00384178"/>
    <w:rsid w:val="00387174"/>
    <w:rsid w:val="003902D6"/>
    <w:rsid w:val="0039136D"/>
    <w:rsid w:val="0039240B"/>
    <w:rsid w:val="003A00CE"/>
    <w:rsid w:val="003A2B37"/>
    <w:rsid w:val="003A7B62"/>
    <w:rsid w:val="003B4AE9"/>
    <w:rsid w:val="003B5BD4"/>
    <w:rsid w:val="003B677E"/>
    <w:rsid w:val="003B7B34"/>
    <w:rsid w:val="003C0281"/>
    <w:rsid w:val="003C0764"/>
    <w:rsid w:val="003C4F3C"/>
    <w:rsid w:val="003D352E"/>
    <w:rsid w:val="003D44B2"/>
    <w:rsid w:val="003D711A"/>
    <w:rsid w:val="003D7B47"/>
    <w:rsid w:val="003E0FC0"/>
    <w:rsid w:val="003E12FD"/>
    <w:rsid w:val="003F56E7"/>
    <w:rsid w:val="0040251A"/>
    <w:rsid w:val="00410F28"/>
    <w:rsid w:val="00411333"/>
    <w:rsid w:val="004216B2"/>
    <w:rsid w:val="00421CD8"/>
    <w:rsid w:val="00427D04"/>
    <w:rsid w:val="00430F18"/>
    <w:rsid w:val="004312EB"/>
    <w:rsid w:val="00431A51"/>
    <w:rsid w:val="00433BE5"/>
    <w:rsid w:val="0044159A"/>
    <w:rsid w:val="0044225C"/>
    <w:rsid w:val="004472BE"/>
    <w:rsid w:val="00452548"/>
    <w:rsid w:val="00457EA6"/>
    <w:rsid w:val="00465841"/>
    <w:rsid w:val="00471017"/>
    <w:rsid w:val="00471887"/>
    <w:rsid w:val="00482977"/>
    <w:rsid w:val="00487851"/>
    <w:rsid w:val="004901FD"/>
    <w:rsid w:val="004A5C52"/>
    <w:rsid w:val="004B1469"/>
    <w:rsid w:val="004B4AB3"/>
    <w:rsid w:val="004C01ED"/>
    <w:rsid w:val="004C04DE"/>
    <w:rsid w:val="004C1DF9"/>
    <w:rsid w:val="004C2A9E"/>
    <w:rsid w:val="004C64AC"/>
    <w:rsid w:val="004C76B9"/>
    <w:rsid w:val="004D586C"/>
    <w:rsid w:val="004D7958"/>
    <w:rsid w:val="004E0171"/>
    <w:rsid w:val="004E16AD"/>
    <w:rsid w:val="004E35DA"/>
    <w:rsid w:val="004E5C84"/>
    <w:rsid w:val="004F3C25"/>
    <w:rsid w:val="004F438A"/>
    <w:rsid w:val="004F47AD"/>
    <w:rsid w:val="004F49EE"/>
    <w:rsid w:val="004F6F49"/>
    <w:rsid w:val="00504971"/>
    <w:rsid w:val="00510297"/>
    <w:rsid w:val="005114BF"/>
    <w:rsid w:val="005123C9"/>
    <w:rsid w:val="005155E0"/>
    <w:rsid w:val="00520EBE"/>
    <w:rsid w:val="00523A4D"/>
    <w:rsid w:val="005248BA"/>
    <w:rsid w:val="005332CB"/>
    <w:rsid w:val="0053336C"/>
    <w:rsid w:val="00534FCD"/>
    <w:rsid w:val="00536167"/>
    <w:rsid w:val="00540CF0"/>
    <w:rsid w:val="0054355E"/>
    <w:rsid w:val="005449D5"/>
    <w:rsid w:val="00547D91"/>
    <w:rsid w:val="005549A4"/>
    <w:rsid w:val="00560880"/>
    <w:rsid w:val="005639A4"/>
    <w:rsid w:val="00564EEB"/>
    <w:rsid w:val="00566F36"/>
    <w:rsid w:val="00572686"/>
    <w:rsid w:val="00574EED"/>
    <w:rsid w:val="005B10CF"/>
    <w:rsid w:val="005B66A6"/>
    <w:rsid w:val="005C20AE"/>
    <w:rsid w:val="005C51DB"/>
    <w:rsid w:val="005C53BA"/>
    <w:rsid w:val="005C6272"/>
    <w:rsid w:val="005C7659"/>
    <w:rsid w:val="005D0033"/>
    <w:rsid w:val="005D0464"/>
    <w:rsid w:val="005D5F99"/>
    <w:rsid w:val="005E4165"/>
    <w:rsid w:val="005F40D5"/>
    <w:rsid w:val="00603BAF"/>
    <w:rsid w:val="006127B1"/>
    <w:rsid w:val="00612998"/>
    <w:rsid w:val="00617785"/>
    <w:rsid w:val="00624173"/>
    <w:rsid w:val="006244CB"/>
    <w:rsid w:val="00624EB2"/>
    <w:rsid w:val="00634F65"/>
    <w:rsid w:val="0063541F"/>
    <w:rsid w:val="00635EC4"/>
    <w:rsid w:val="00637EF5"/>
    <w:rsid w:val="00646BDD"/>
    <w:rsid w:val="00650965"/>
    <w:rsid w:val="00652ACD"/>
    <w:rsid w:val="00653312"/>
    <w:rsid w:val="00655B58"/>
    <w:rsid w:val="00657150"/>
    <w:rsid w:val="00661C1F"/>
    <w:rsid w:val="00666E1E"/>
    <w:rsid w:val="006674BF"/>
    <w:rsid w:val="00673618"/>
    <w:rsid w:val="00675F9B"/>
    <w:rsid w:val="00681B65"/>
    <w:rsid w:val="006853A0"/>
    <w:rsid w:val="006933C0"/>
    <w:rsid w:val="00693629"/>
    <w:rsid w:val="00693B15"/>
    <w:rsid w:val="006952C5"/>
    <w:rsid w:val="00696849"/>
    <w:rsid w:val="006A54A8"/>
    <w:rsid w:val="006B0ACF"/>
    <w:rsid w:val="006B11C9"/>
    <w:rsid w:val="006B2D1D"/>
    <w:rsid w:val="006B68DA"/>
    <w:rsid w:val="006B71FF"/>
    <w:rsid w:val="006C60AA"/>
    <w:rsid w:val="006C6855"/>
    <w:rsid w:val="006C7D44"/>
    <w:rsid w:val="006D4326"/>
    <w:rsid w:val="006D4FC7"/>
    <w:rsid w:val="006D55FD"/>
    <w:rsid w:val="006E1F72"/>
    <w:rsid w:val="006E2251"/>
    <w:rsid w:val="006E7B42"/>
    <w:rsid w:val="006E7D30"/>
    <w:rsid w:val="006F0C8B"/>
    <w:rsid w:val="006F1D8D"/>
    <w:rsid w:val="006F5BE7"/>
    <w:rsid w:val="006F61E6"/>
    <w:rsid w:val="006F7A3F"/>
    <w:rsid w:val="006F7EFA"/>
    <w:rsid w:val="00710A62"/>
    <w:rsid w:val="00715D6C"/>
    <w:rsid w:val="00721CB6"/>
    <w:rsid w:val="00723C6F"/>
    <w:rsid w:val="00732D7C"/>
    <w:rsid w:val="00737FE2"/>
    <w:rsid w:val="00741126"/>
    <w:rsid w:val="007427C7"/>
    <w:rsid w:val="007475D1"/>
    <w:rsid w:val="00753D6C"/>
    <w:rsid w:val="0075481B"/>
    <w:rsid w:val="007567C8"/>
    <w:rsid w:val="00756A48"/>
    <w:rsid w:val="00756D1F"/>
    <w:rsid w:val="00760BF7"/>
    <w:rsid w:val="00762389"/>
    <w:rsid w:val="00762F12"/>
    <w:rsid w:val="00762FD0"/>
    <w:rsid w:val="007631C7"/>
    <w:rsid w:val="007636FD"/>
    <w:rsid w:val="00765828"/>
    <w:rsid w:val="007670C7"/>
    <w:rsid w:val="00774002"/>
    <w:rsid w:val="007752FB"/>
    <w:rsid w:val="007768F5"/>
    <w:rsid w:val="00781217"/>
    <w:rsid w:val="00782D77"/>
    <w:rsid w:val="00782F12"/>
    <w:rsid w:val="007845D8"/>
    <w:rsid w:val="00785030"/>
    <w:rsid w:val="00794A55"/>
    <w:rsid w:val="007958D6"/>
    <w:rsid w:val="00797B76"/>
    <w:rsid w:val="007A32EF"/>
    <w:rsid w:val="007A345F"/>
    <w:rsid w:val="007B09EC"/>
    <w:rsid w:val="007B5DBF"/>
    <w:rsid w:val="007C5D18"/>
    <w:rsid w:val="007D05D6"/>
    <w:rsid w:val="007D11D3"/>
    <w:rsid w:val="007D208D"/>
    <w:rsid w:val="007D429F"/>
    <w:rsid w:val="007D56AE"/>
    <w:rsid w:val="007D6AB8"/>
    <w:rsid w:val="007E08CF"/>
    <w:rsid w:val="007E09AC"/>
    <w:rsid w:val="007E161E"/>
    <w:rsid w:val="007E2DF3"/>
    <w:rsid w:val="007E3484"/>
    <w:rsid w:val="007E6CCF"/>
    <w:rsid w:val="007E71F0"/>
    <w:rsid w:val="007F11FE"/>
    <w:rsid w:val="007F1AD7"/>
    <w:rsid w:val="0080093E"/>
    <w:rsid w:val="00800D17"/>
    <w:rsid w:val="00800E8F"/>
    <w:rsid w:val="0080137D"/>
    <w:rsid w:val="008107E4"/>
    <w:rsid w:val="00812436"/>
    <w:rsid w:val="00814057"/>
    <w:rsid w:val="00814993"/>
    <w:rsid w:val="008149BF"/>
    <w:rsid w:val="00820493"/>
    <w:rsid w:val="00821154"/>
    <w:rsid w:val="0082798C"/>
    <w:rsid w:val="00841C34"/>
    <w:rsid w:val="008572CB"/>
    <w:rsid w:val="008578CA"/>
    <w:rsid w:val="00861F88"/>
    <w:rsid w:val="00863438"/>
    <w:rsid w:val="00864305"/>
    <w:rsid w:val="008669E9"/>
    <w:rsid w:val="008676E0"/>
    <w:rsid w:val="008759D5"/>
    <w:rsid w:val="00877FA1"/>
    <w:rsid w:val="00880B9F"/>
    <w:rsid w:val="00882BC7"/>
    <w:rsid w:val="00884C3F"/>
    <w:rsid w:val="0089202B"/>
    <w:rsid w:val="0089413F"/>
    <w:rsid w:val="00894801"/>
    <w:rsid w:val="00896D29"/>
    <w:rsid w:val="008A0054"/>
    <w:rsid w:val="008A139A"/>
    <w:rsid w:val="008A5BA9"/>
    <w:rsid w:val="008C2520"/>
    <w:rsid w:val="008C36CC"/>
    <w:rsid w:val="008C4647"/>
    <w:rsid w:val="008D3B52"/>
    <w:rsid w:val="008D43F8"/>
    <w:rsid w:val="008D739E"/>
    <w:rsid w:val="008D77DA"/>
    <w:rsid w:val="008F0BD6"/>
    <w:rsid w:val="008F14B7"/>
    <w:rsid w:val="008F3221"/>
    <w:rsid w:val="00901422"/>
    <w:rsid w:val="00901D0F"/>
    <w:rsid w:val="00902400"/>
    <w:rsid w:val="009044C1"/>
    <w:rsid w:val="00904DC6"/>
    <w:rsid w:val="00905BA3"/>
    <w:rsid w:val="0090623E"/>
    <w:rsid w:val="0092017B"/>
    <w:rsid w:val="00920B67"/>
    <w:rsid w:val="00927A64"/>
    <w:rsid w:val="00930EB6"/>
    <w:rsid w:val="0093263D"/>
    <w:rsid w:val="0093734E"/>
    <w:rsid w:val="009457D5"/>
    <w:rsid w:val="00945C41"/>
    <w:rsid w:val="00950B37"/>
    <w:rsid w:val="00961368"/>
    <w:rsid w:val="009633EA"/>
    <w:rsid w:val="00964A5A"/>
    <w:rsid w:val="009748F3"/>
    <w:rsid w:val="009755FD"/>
    <w:rsid w:val="00984506"/>
    <w:rsid w:val="00997DFF"/>
    <w:rsid w:val="009A3F9C"/>
    <w:rsid w:val="009A5D0C"/>
    <w:rsid w:val="009A7DB8"/>
    <w:rsid w:val="009C689D"/>
    <w:rsid w:val="009C7BF3"/>
    <w:rsid w:val="009D5482"/>
    <w:rsid w:val="009E21C1"/>
    <w:rsid w:val="009E3B91"/>
    <w:rsid w:val="009F3BAB"/>
    <w:rsid w:val="009F54FE"/>
    <w:rsid w:val="009F671F"/>
    <w:rsid w:val="00A21263"/>
    <w:rsid w:val="00A21C61"/>
    <w:rsid w:val="00A22DEE"/>
    <w:rsid w:val="00A3054D"/>
    <w:rsid w:val="00A34AEE"/>
    <w:rsid w:val="00A375E6"/>
    <w:rsid w:val="00A4031E"/>
    <w:rsid w:val="00A41466"/>
    <w:rsid w:val="00A43080"/>
    <w:rsid w:val="00A57CC5"/>
    <w:rsid w:val="00A63187"/>
    <w:rsid w:val="00A6321B"/>
    <w:rsid w:val="00A654B1"/>
    <w:rsid w:val="00A65B99"/>
    <w:rsid w:val="00A7413D"/>
    <w:rsid w:val="00A76224"/>
    <w:rsid w:val="00A84E6C"/>
    <w:rsid w:val="00A860DC"/>
    <w:rsid w:val="00A86E0D"/>
    <w:rsid w:val="00A90679"/>
    <w:rsid w:val="00A91B2F"/>
    <w:rsid w:val="00A94B46"/>
    <w:rsid w:val="00A974B7"/>
    <w:rsid w:val="00AB200A"/>
    <w:rsid w:val="00AB296C"/>
    <w:rsid w:val="00AB309E"/>
    <w:rsid w:val="00AB71F6"/>
    <w:rsid w:val="00AC1848"/>
    <w:rsid w:val="00AC26A2"/>
    <w:rsid w:val="00AC38B0"/>
    <w:rsid w:val="00AC4684"/>
    <w:rsid w:val="00AC4A17"/>
    <w:rsid w:val="00AE0058"/>
    <w:rsid w:val="00AE1614"/>
    <w:rsid w:val="00AF76B3"/>
    <w:rsid w:val="00B0017A"/>
    <w:rsid w:val="00B00A75"/>
    <w:rsid w:val="00B014C8"/>
    <w:rsid w:val="00B01A43"/>
    <w:rsid w:val="00B03A2C"/>
    <w:rsid w:val="00B04AFC"/>
    <w:rsid w:val="00B1422A"/>
    <w:rsid w:val="00B1509B"/>
    <w:rsid w:val="00B245C8"/>
    <w:rsid w:val="00B250C0"/>
    <w:rsid w:val="00B2590A"/>
    <w:rsid w:val="00B26748"/>
    <w:rsid w:val="00B33125"/>
    <w:rsid w:val="00B43CC7"/>
    <w:rsid w:val="00B45785"/>
    <w:rsid w:val="00B45972"/>
    <w:rsid w:val="00B554A3"/>
    <w:rsid w:val="00B55C76"/>
    <w:rsid w:val="00B62C13"/>
    <w:rsid w:val="00B65BBD"/>
    <w:rsid w:val="00B67044"/>
    <w:rsid w:val="00B760D7"/>
    <w:rsid w:val="00B76BE6"/>
    <w:rsid w:val="00B77285"/>
    <w:rsid w:val="00B819CE"/>
    <w:rsid w:val="00B879CD"/>
    <w:rsid w:val="00B92507"/>
    <w:rsid w:val="00B92B71"/>
    <w:rsid w:val="00BB1511"/>
    <w:rsid w:val="00BB1B7D"/>
    <w:rsid w:val="00BB1DBD"/>
    <w:rsid w:val="00BB23EA"/>
    <w:rsid w:val="00BB393E"/>
    <w:rsid w:val="00BB4003"/>
    <w:rsid w:val="00BC47DA"/>
    <w:rsid w:val="00BC5010"/>
    <w:rsid w:val="00BD0FB9"/>
    <w:rsid w:val="00BD6E4F"/>
    <w:rsid w:val="00BD7F3F"/>
    <w:rsid w:val="00BE10CB"/>
    <w:rsid w:val="00BE3A5E"/>
    <w:rsid w:val="00BE6209"/>
    <w:rsid w:val="00BF28A3"/>
    <w:rsid w:val="00BF6ACE"/>
    <w:rsid w:val="00BF6CDB"/>
    <w:rsid w:val="00C05AC8"/>
    <w:rsid w:val="00C07046"/>
    <w:rsid w:val="00C07260"/>
    <w:rsid w:val="00C10B0E"/>
    <w:rsid w:val="00C10FCB"/>
    <w:rsid w:val="00C1199A"/>
    <w:rsid w:val="00C12736"/>
    <w:rsid w:val="00C2072F"/>
    <w:rsid w:val="00C30C6C"/>
    <w:rsid w:val="00C60180"/>
    <w:rsid w:val="00C62A32"/>
    <w:rsid w:val="00C62D1E"/>
    <w:rsid w:val="00C74E33"/>
    <w:rsid w:val="00C81653"/>
    <w:rsid w:val="00C82E26"/>
    <w:rsid w:val="00C85313"/>
    <w:rsid w:val="00C87FC4"/>
    <w:rsid w:val="00C94CB6"/>
    <w:rsid w:val="00C95C70"/>
    <w:rsid w:val="00C964DA"/>
    <w:rsid w:val="00CB77D5"/>
    <w:rsid w:val="00CC0882"/>
    <w:rsid w:val="00CC3A71"/>
    <w:rsid w:val="00CC4468"/>
    <w:rsid w:val="00CC4B3E"/>
    <w:rsid w:val="00CC7172"/>
    <w:rsid w:val="00CD04E6"/>
    <w:rsid w:val="00CD1267"/>
    <w:rsid w:val="00CD6241"/>
    <w:rsid w:val="00CE0E93"/>
    <w:rsid w:val="00CE1636"/>
    <w:rsid w:val="00CE5623"/>
    <w:rsid w:val="00CF3737"/>
    <w:rsid w:val="00D14C7C"/>
    <w:rsid w:val="00D17775"/>
    <w:rsid w:val="00D27D2B"/>
    <w:rsid w:val="00D30D22"/>
    <w:rsid w:val="00D4234B"/>
    <w:rsid w:val="00D4626F"/>
    <w:rsid w:val="00D46C1C"/>
    <w:rsid w:val="00D5376D"/>
    <w:rsid w:val="00D56B50"/>
    <w:rsid w:val="00D57A55"/>
    <w:rsid w:val="00D60DD1"/>
    <w:rsid w:val="00D610A1"/>
    <w:rsid w:val="00D650D9"/>
    <w:rsid w:val="00D73812"/>
    <w:rsid w:val="00D74C95"/>
    <w:rsid w:val="00D75A6C"/>
    <w:rsid w:val="00D80854"/>
    <w:rsid w:val="00D81411"/>
    <w:rsid w:val="00D90D13"/>
    <w:rsid w:val="00DA3A93"/>
    <w:rsid w:val="00DB4F3A"/>
    <w:rsid w:val="00DB51FB"/>
    <w:rsid w:val="00DB6847"/>
    <w:rsid w:val="00DC0774"/>
    <w:rsid w:val="00DC5671"/>
    <w:rsid w:val="00DC627E"/>
    <w:rsid w:val="00DC62D9"/>
    <w:rsid w:val="00DC6487"/>
    <w:rsid w:val="00DC7922"/>
    <w:rsid w:val="00DD2926"/>
    <w:rsid w:val="00DD4B50"/>
    <w:rsid w:val="00DD4E53"/>
    <w:rsid w:val="00DD5E4F"/>
    <w:rsid w:val="00DD7869"/>
    <w:rsid w:val="00DE0133"/>
    <w:rsid w:val="00DE024B"/>
    <w:rsid w:val="00DE1D32"/>
    <w:rsid w:val="00DF338A"/>
    <w:rsid w:val="00DF548E"/>
    <w:rsid w:val="00DF72C2"/>
    <w:rsid w:val="00E02F43"/>
    <w:rsid w:val="00E114CF"/>
    <w:rsid w:val="00E16869"/>
    <w:rsid w:val="00E16998"/>
    <w:rsid w:val="00E23D75"/>
    <w:rsid w:val="00E24687"/>
    <w:rsid w:val="00E31020"/>
    <w:rsid w:val="00E35980"/>
    <w:rsid w:val="00E36131"/>
    <w:rsid w:val="00E40573"/>
    <w:rsid w:val="00E4070D"/>
    <w:rsid w:val="00E41EF6"/>
    <w:rsid w:val="00E52112"/>
    <w:rsid w:val="00E52C85"/>
    <w:rsid w:val="00E74405"/>
    <w:rsid w:val="00E779C7"/>
    <w:rsid w:val="00E82BA3"/>
    <w:rsid w:val="00E92001"/>
    <w:rsid w:val="00EA07D1"/>
    <w:rsid w:val="00EA13E2"/>
    <w:rsid w:val="00EA173A"/>
    <w:rsid w:val="00EA2F3F"/>
    <w:rsid w:val="00EA345A"/>
    <w:rsid w:val="00EB5BEF"/>
    <w:rsid w:val="00EC05D9"/>
    <w:rsid w:val="00EC1492"/>
    <w:rsid w:val="00EC1C3E"/>
    <w:rsid w:val="00ED02A4"/>
    <w:rsid w:val="00ED3BB9"/>
    <w:rsid w:val="00ED45A0"/>
    <w:rsid w:val="00ED53F6"/>
    <w:rsid w:val="00ED7574"/>
    <w:rsid w:val="00EE60FD"/>
    <w:rsid w:val="00EF2BB4"/>
    <w:rsid w:val="00EF41CA"/>
    <w:rsid w:val="00F02EB4"/>
    <w:rsid w:val="00F04EEC"/>
    <w:rsid w:val="00F15770"/>
    <w:rsid w:val="00F176DA"/>
    <w:rsid w:val="00F20416"/>
    <w:rsid w:val="00F21BA1"/>
    <w:rsid w:val="00F237C1"/>
    <w:rsid w:val="00F24C59"/>
    <w:rsid w:val="00F257EE"/>
    <w:rsid w:val="00F26554"/>
    <w:rsid w:val="00F3097A"/>
    <w:rsid w:val="00F33D6C"/>
    <w:rsid w:val="00F40F3B"/>
    <w:rsid w:val="00F412F6"/>
    <w:rsid w:val="00F42743"/>
    <w:rsid w:val="00F51740"/>
    <w:rsid w:val="00F51F30"/>
    <w:rsid w:val="00F523E7"/>
    <w:rsid w:val="00F52871"/>
    <w:rsid w:val="00F5320C"/>
    <w:rsid w:val="00F56CBB"/>
    <w:rsid w:val="00F606D3"/>
    <w:rsid w:val="00F61ACB"/>
    <w:rsid w:val="00F640F7"/>
    <w:rsid w:val="00F6654E"/>
    <w:rsid w:val="00F66E67"/>
    <w:rsid w:val="00F707FF"/>
    <w:rsid w:val="00F71B96"/>
    <w:rsid w:val="00F73033"/>
    <w:rsid w:val="00F77586"/>
    <w:rsid w:val="00F813BB"/>
    <w:rsid w:val="00F85DC1"/>
    <w:rsid w:val="00F8684B"/>
    <w:rsid w:val="00FA0BD4"/>
    <w:rsid w:val="00FA3E8E"/>
    <w:rsid w:val="00FA5420"/>
    <w:rsid w:val="00FB12A6"/>
    <w:rsid w:val="00FB574E"/>
    <w:rsid w:val="00FC03FD"/>
    <w:rsid w:val="00FC40FE"/>
    <w:rsid w:val="00FC468E"/>
    <w:rsid w:val="00FD028C"/>
    <w:rsid w:val="00FE0273"/>
    <w:rsid w:val="00FF7941"/>
    <w:rsid w:val="04856BA7"/>
    <w:rsid w:val="0C4F6E5A"/>
    <w:rsid w:val="19FB17CB"/>
    <w:rsid w:val="1B4E0050"/>
    <w:rsid w:val="2C971FB6"/>
    <w:rsid w:val="2F211654"/>
    <w:rsid w:val="347A30AA"/>
    <w:rsid w:val="34C4075D"/>
    <w:rsid w:val="43396107"/>
    <w:rsid w:val="46CF1256"/>
    <w:rsid w:val="52243289"/>
    <w:rsid w:val="5A3D2566"/>
    <w:rsid w:val="6C543A55"/>
    <w:rsid w:val="701A2C4B"/>
    <w:rsid w:val="76973BF3"/>
    <w:rsid w:val="783D7DC9"/>
    <w:rsid w:val="7A662E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nhideWhenUsed="0" w:uiPriority="0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65"/>
    <w:qFormat/>
    <w:uiPriority w:val="0"/>
    <w:pPr>
      <w:outlineLvl w:val="2"/>
    </w:pPr>
    <w:rPr>
      <w:rFonts w:ascii="Times New Roman" w:hAnsi="Times New Roman" w:eastAsia="仿宋_GB2312" w:cs="Times New Roman"/>
      <w:sz w:val="32"/>
      <w:szCs w:val="24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64"/>
    <w:qFormat/>
    <w:uiPriority w:val="0"/>
    <w:pPr>
      <w:spacing w:after="120"/>
    </w:pPr>
    <w:rPr>
      <w:rFonts w:ascii="Times New Roman" w:hAnsi="Times New Roman" w:eastAsia="宋体" w:cs="Times New Roman"/>
      <w:sz w:val="28"/>
      <w:szCs w:val="28"/>
    </w:rPr>
  </w:style>
  <w:style w:type="paragraph" w:styleId="4">
    <w:name w:val="Body Text Indent"/>
    <w:basedOn w:val="1"/>
    <w:link w:val="34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6">
    <w:name w:val="Body Text Indent 2"/>
    <w:basedOn w:val="1"/>
    <w:link w:val="32"/>
    <w:qFormat/>
    <w:uiPriority w:val="0"/>
    <w:pPr>
      <w:ind w:firstLine="570"/>
    </w:pPr>
    <w:rPr>
      <w:rFonts w:ascii="Times New Roman" w:hAnsi="Times New Roman" w:eastAsia="宋体" w:cs="Times New Roman"/>
      <w:sz w:val="28"/>
      <w:szCs w:val="24"/>
    </w:rPr>
  </w:style>
  <w:style w:type="paragraph" w:styleId="7">
    <w:name w:val="Balloon Text"/>
    <w:basedOn w:val="1"/>
    <w:link w:val="29"/>
    <w:unhideWhenUsed/>
    <w:qFormat/>
    <w:uiPriority w:val="0"/>
    <w:rPr>
      <w:sz w:val="18"/>
      <w:szCs w:val="18"/>
    </w:rPr>
  </w:style>
  <w:style w:type="paragraph" w:styleId="8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5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0"/>
    <w:rPr>
      <w:rFonts w:ascii="Times New Roman" w:hAnsi="Times New Roman" w:eastAsia="宋体" w:cs="Times New Roman"/>
      <w:sz w:val="28"/>
      <w:szCs w:val="28"/>
    </w:rPr>
  </w:style>
  <w:style w:type="paragraph" w:styleId="11">
    <w:name w:val="toc 2"/>
    <w:basedOn w:val="1"/>
    <w:next w:val="1"/>
    <w:uiPriority w:val="0"/>
    <w:pPr>
      <w:ind w:left="420" w:leftChars="200"/>
    </w:pPr>
    <w:rPr>
      <w:rFonts w:ascii="Times New Roman" w:hAnsi="Times New Roman" w:eastAsia="宋体" w:cs="Times New Roman"/>
      <w:sz w:val="28"/>
      <w:szCs w:val="28"/>
    </w:rPr>
  </w:style>
  <w:style w:type="paragraph" w:styleId="1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Title"/>
    <w:basedOn w:val="1"/>
    <w:next w:val="1"/>
    <w:link w:val="39"/>
    <w:qFormat/>
    <w:uiPriority w:val="1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paragraph" w:styleId="14">
    <w:name w:val="Body Text First Indent 2"/>
    <w:basedOn w:val="4"/>
    <w:link w:val="35"/>
    <w:semiHidden/>
    <w:unhideWhenUsed/>
    <w:qFormat/>
    <w:uiPriority w:val="99"/>
    <w:pPr>
      <w:ind w:firstLine="420" w:firstLineChars="200"/>
    </w:pPr>
  </w:style>
  <w:style w:type="table" w:styleId="16">
    <w:name w:val="Table Grid"/>
    <w:basedOn w:val="15"/>
    <w:qFormat/>
    <w:uiPriority w:val="99"/>
    <w:rPr>
      <w:rFonts w:ascii="Times New Roman" w:hAnsi="Times New Roman" w:eastAsia="宋体" w:cs="Times New Roman"/>
      <w:lang w:bidi="mn-Mong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Strong"/>
    <w:basedOn w:val="17"/>
    <w:qFormat/>
    <w:uiPriority w:val="22"/>
    <w:rPr>
      <w:b/>
      <w:bCs/>
    </w:rPr>
  </w:style>
  <w:style w:type="character" w:styleId="19">
    <w:name w:val="FollowedHyperlink"/>
    <w:qFormat/>
    <w:uiPriority w:val="0"/>
    <w:rPr>
      <w:color w:val="800080"/>
      <w:u w:val="none"/>
    </w:rPr>
  </w:style>
  <w:style w:type="character" w:styleId="20">
    <w:name w:val="HTML Definition"/>
    <w:qFormat/>
    <w:uiPriority w:val="0"/>
  </w:style>
  <w:style w:type="character" w:styleId="21">
    <w:name w:val="HTML Variable"/>
    <w:qFormat/>
    <w:uiPriority w:val="0"/>
  </w:style>
  <w:style w:type="character" w:styleId="22">
    <w:name w:val="Hyperlink"/>
    <w:qFormat/>
    <w:uiPriority w:val="0"/>
    <w:rPr>
      <w:color w:val="0000FF"/>
      <w:u w:val="none"/>
    </w:rPr>
  </w:style>
  <w:style w:type="character" w:styleId="23">
    <w:name w:val="HTML Code"/>
    <w:qFormat/>
    <w:uiPriority w:val="0"/>
    <w:rPr>
      <w:rFonts w:ascii="Courier New" w:hAnsi="Courier New"/>
      <w:sz w:val="20"/>
    </w:rPr>
  </w:style>
  <w:style w:type="character" w:styleId="24">
    <w:name w:val="HTML Cite"/>
    <w:qFormat/>
    <w:uiPriority w:val="0"/>
  </w:style>
  <w:style w:type="character" w:customStyle="1" w:styleId="25">
    <w:name w:val="页眉 Char"/>
    <w:basedOn w:val="17"/>
    <w:link w:val="9"/>
    <w:qFormat/>
    <w:uiPriority w:val="99"/>
    <w:rPr>
      <w:sz w:val="18"/>
      <w:szCs w:val="18"/>
    </w:rPr>
  </w:style>
  <w:style w:type="character" w:customStyle="1" w:styleId="26">
    <w:name w:val="页脚 Char"/>
    <w:basedOn w:val="17"/>
    <w:link w:val="8"/>
    <w:qFormat/>
    <w:uiPriority w:val="99"/>
    <w:rPr>
      <w:sz w:val="18"/>
      <w:szCs w:val="18"/>
    </w:rPr>
  </w:style>
  <w:style w:type="paragraph" w:styleId="27">
    <w:name w:val="List Paragraph"/>
    <w:basedOn w:val="1"/>
    <w:qFormat/>
    <w:uiPriority w:val="99"/>
    <w:pPr>
      <w:ind w:firstLine="420" w:firstLineChars="200"/>
    </w:pPr>
  </w:style>
  <w:style w:type="character" w:customStyle="1" w:styleId="28">
    <w:name w:val="日期 Char"/>
    <w:basedOn w:val="17"/>
    <w:link w:val="5"/>
    <w:semiHidden/>
    <w:qFormat/>
    <w:uiPriority w:val="99"/>
    <w:rPr>
      <w:kern w:val="2"/>
      <w:sz w:val="21"/>
      <w:szCs w:val="22"/>
    </w:rPr>
  </w:style>
  <w:style w:type="character" w:customStyle="1" w:styleId="29">
    <w:name w:val="批注框文本 Char"/>
    <w:basedOn w:val="17"/>
    <w:link w:val="7"/>
    <w:semiHidden/>
    <w:qFormat/>
    <w:uiPriority w:val="99"/>
    <w:rPr>
      <w:kern w:val="2"/>
      <w:sz w:val="18"/>
      <w:szCs w:val="18"/>
    </w:rPr>
  </w:style>
  <w:style w:type="paragraph" w:customStyle="1" w:styleId="30">
    <w:name w:val="我的正文"/>
    <w:basedOn w:val="1"/>
    <w:link w:val="31"/>
    <w:qFormat/>
    <w:uiPriority w:val="0"/>
    <w:pPr>
      <w:adjustRightInd w:val="0"/>
      <w:snapToGrid w:val="0"/>
      <w:spacing w:line="560" w:lineRule="exact"/>
      <w:ind w:firstLine="420" w:firstLineChars="200"/>
    </w:pPr>
    <w:rPr>
      <w:rFonts w:ascii="仿宋_GB2312" w:hAnsi="仿宋_GB2312" w:eastAsia="仿宋_GB2312"/>
      <w:sz w:val="32"/>
      <w:szCs w:val="24"/>
    </w:rPr>
  </w:style>
  <w:style w:type="character" w:customStyle="1" w:styleId="31">
    <w:name w:val="我的正文 Char"/>
    <w:link w:val="30"/>
    <w:qFormat/>
    <w:uiPriority w:val="0"/>
    <w:rPr>
      <w:rFonts w:ascii="仿宋_GB2312" w:hAnsi="仿宋_GB2312" w:eastAsia="仿宋_GB2312"/>
      <w:kern w:val="2"/>
      <w:sz w:val="32"/>
      <w:szCs w:val="24"/>
    </w:rPr>
  </w:style>
  <w:style w:type="character" w:customStyle="1" w:styleId="32">
    <w:name w:val="正文文本缩进 2 Char"/>
    <w:basedOn w:val="17"/>
    <w:link w:val="6"/>
    <w:qFormat/>
    <w:uiPriority w:val="0"/>
    <w:rPr>
      <w:rFonts w:ascii="Times New Roman" w:hAnsi="Times New Roman" w:eastAsia="宋体" w:cs="Times New Roman"/>
      <w:kern w:val="2"/>
      <w:sz w:val="28"/>
      <w:szCs w:val="24"/>
    </w:rPr>
  </w:style>
  <w:style w:type="character" w:customStyle="1" w:styleId="33">
    <w:name w:val="NormalCharacter"/>
    <w:semiHidden/>
    <w:qFormat/>
    <w:uiPriority w:val="0"/>
  </w:style>
  <w:style w:type="character" w:customStyle="1" w:styleId="34">
    <w:name w:val="正文文本缩进 Char"/>
    <w:basedOn w:val="17"/>
    <w:link w:val="4"/>
    <w:semiHidden/>
    <w:qFormat/>
    <w:uiPriority w:val="99"/>
    <w:rPr>
      <w:kern w:val="2"/>
      <w:sz w:val="21"/>
      <w:szCs w:val="22"/>
    </w:rPr>
  </w:style>
  <w:style w:type="character" w:customStyle="1" w:styleId="35">
    <w:name w:val="正文首行缩进 2 Char"/>
    <w:basedOn w:val="34"/>
    <w:link w:val="14"/>
    <w:semiHidden/>
    <w:qFormat/>
    <w:uiPriority w:val="99"/>
    <w:rPr>
      <w:kern w:val="2"/>
      <w:sz w:val="21"/>
      <w:szCs w:val="22"/>
    </w:rPr>
  </w:style>
  <w:style w:type="character" w:customStyle="1" w:styleId="36">
    <w:name w:val="批注框文本 字符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37">
    <w:name w:val="页脚 字符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38">
    <w:name w:val="页眉 字符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39">
    <w:name w:val="标题 Char"/>
    <w:basedOn w:val="17"/>
    <w:link w:val="13"/>
    <w:qFormat/>
    <w:uiPriority w:val="10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40">
    <w:name w:val="_Style 30"/>
    <w:basedOn w:val="1"/>
    <w:next w:val="27"/>
    <w:qFormat/>
    <w:uiPriority w:val="99"/>
    <w:pPr>
      <w:ind w:firstLine="420" w:firstLineChars="200"/>
    </w:pPr>
    <w:rPr>
      <w:rFonts w:ascii="Calibri" w:hAnsi="Calibri" w:eastAsia="宋体" w:cs="Times New Roman"/>
      <w:szCs w:val="24"/>
    </w:rPr>
  </w:style>
  <w:style w:type="character" w:customStyle="1" w:styleId="41">
    <w:name w:val="openeye"/>
    <w:qFormat/>
    <w:uiPriority w:val="0"/>
  </w:style>
  <w:style w:type="character" w:customStyle="1" w:styleId="42">
    <w:name w:val="closeeye"/>
    <w:qFormat/>
    <w:uiPriority w:val="0"/>
  </w:style>
  <w:style w:type="character" w:customStyle="1" w:styleId="43">
    <w:name w:val="gwds_nopic"/>
    <w:qFormat/>
    <w:uiPriority w:val="0"/>
  </w:style>
  <w:style w:type="character" w:customStyle="1" w:styleId="44">
    <w:name w:val="remaintime"/>
    <w:qFormat/>
    <w:uiPriority w:val="0"/>
    <w:rPr>
      <w:color w:val="000000"/>
      <w:shd w:val="clear" w:color="auto" w:fill="CACACA"/>
    </w:rPr>
  </w:style>
  <w:style w:type="character" w:customStyle="1" w:styleId="45">
    <w:name w:val="seepass"/>
    <w:qFormat/>
    <w:uiPriority w:val="0"/>
  </w:style>
  <w:style w:type="character" w:customStyle="1" w:styleId="46">
    <w:name w:val="on2"/>
    <w:qFormat/>
    <w:uiPriority w:val="0"/>
    <w:rPr>
      <w:color w:val="FFFFFF"/>
      <w:bdr w:val="single" w:color="C9100E" w:sz="4" w:space="0"/>
      <w:shd w:val="clear" w:color="auto" w:fill="C9100E"/>
    </w:rPr>
  </w:style>
  <w:style w:type="character" w:customStyle="1" w:styleId="47">
    <w:name w:val="laypage_curr"/>
    <w:qFormat/>
    <w:uiPriority w:val="0"/>
    <w:rPr>
      <w:color w:val="FFFDF4"/>
      <w:shd w:val="clear" w:color="auto" w:fill="0B67A6"/>
    </w:rPr>
  </w:style>
  <w:style w:type="character" w:customStyle="1" w:styleId="48">
    <w:name w:val="hidepass"/>
    <w:qFormat/>
    <w:uiPriority w:val="0"/>
  </w:style>
  <w:style w:type="character" w:customStyle="1" w:styleId="49">
    <w:name w:val="eyespan"/>
    <w:qFormat/>
    <w:uiPriority w:val="0"/>
  </w:style>
  <w:style w:type="character" w:customStyle="1" w:styleId="50">
    <w:name w:val="hover16"/>
    <w:qFormat/>
    <w:uiPriority w:val="0"/>
    <w:rPr>
      <w:color w:val="025291"/>
    </w:rPr>
  </w:style>
  <w:style w:type="character" w:customStyle="1" w:styleId="51">
    <w:name w:val="place2"/>
    <w:qFormat/>
    <w:uiPriority w:val="0"/>
    <w:rPr>
      <w:rFonts w:ascii="微软雅黑" w:hAnsi="微软雅黑" w:eastAsia="微软雅黑" w:cs="微软雅黑"/>
      <w:color w:val="888888"/>
      <w:sz w:val="20"/>
      <w:szCs w:val="20"/>
    </w:rPr>
  </w:style>
  <w:style w:type="character" w:customStyle="1" w:styleId="52">
    <w:name w:val="hover"/>
    <w:qFormat/>
    <w:uiPriority w:val="0"/>
    <w:rPr>
      <w:color w:val="025291"/>
    </w:rPr>
  </w:style>
  <w:style w:type="character" w:customStyle="1" w:styleId="53">
    <w:name w:val="font1"/>
    <w:qFormat/>
    <w:uiPriority w:val="0"/>
  </w:style>
  <w:style w:type="character" w:customStyle="1" w:styleId="54">
    <w:name w:val="gwds_nopic2"/>
    <w:qFormat/>
    <w:uiPriority w:val="0"/>
  </w:style>
  <w:style w:type="character" w:customStyle="1" w:styleId="55">
    <w:name w:val="place1"/>
    <w:qFormat/>
    <w:uiPriority w:val="0"/>
  </w:style>
  <w:style w:type="character" w:customStyle="1" w:styleId="56">
    <w:name w:val="place3"/>
    <w:qFormat/>
    <w:uiPriority w:val="0"/>
  </w:style>
  <w:style w:type="character" w:customStyle="1" w:styleId="57">
    <w:name w:val="noline"/>
    <w:qFormat/>
    <w:uiPriority w:val="0"/>
  </w:style>
  <w:style w:type="character" w:customStyle="1" w:styleId="58">
    <w:name w:val="gwds_nopic1"/>
    <w:qFormat/>
    <w:uiPriority w:val="0"/>
  </w:style>
  <w:style w:type="character" w:customStyle="1" w:styleId="59">
    <w:name w:val="hover18"/>
    <w:qFormat/>
    <w:uiPriority w:val="0"/>
    <w:rPr>
      <w:color w:val="FFFFFF"/>
      <w:shd w:val="clear" w:color="auto" w:fill="237EC7"/>
    </w:rPr>
  </w:style>
  <w:style w:type="character" w:customStyle="1" w:styleId="60">
    <w:name w:val="hover19"/>
    <w:qFormat/>
    <w:uiPriority w:val="0"/>
    <w:rPr>
      <w:color w:val="FFFFFF"/>
      <w:bdr w:val="single" w:color="C9100E" w:sz="4" w:space="0"/>
      <w:shd w:val="clear" w:color="auto" w:fill="C9100E"/>
    </w:rPr>
  </w:style>
  <w:style w:type="character" w:customStyle="1" w:styleId="61">
    <w:name w:val="place"/>
    <w:qFormat/>
    <w:uiPriority w:val="0"/>
  </w:style>
  <w:style w:type="character" w:customStyle="1" w:styleId="62">
    <w:name w:val="font"/>
    <w:qFormat/>
    <w:uiPriority w:val="0"/>
  </w:style>
  <w:style w:type="character" w:customStyle="1" w:styleId="63">
    <w:name w:val="font11"/>
    <w:qFormat/>
    <w:uiPriority w:val="0"/>
    <w:rPr>
      <w:rFonts w:hint="eastAsia" w:ascii="仿宋" w:hAnsi="仿宋" w:eastAsia="仿宋" w:cs="仿宋"/>
      <w:color w:val="191919"/>
      <w:sz w:val="24"/>
      <w:szCs w:val="24"/>
      <w:u w:val="none"/>
    </w:rPr>
  </w:style>
  <w:style w:type="character" w:customStyle="1" w:styleId="64">
    <w:name w:val="正文文本 Char"/>
    <w:basedOn w:val="17"/>
    <w:link w:val="3"/>
    <w:qFormat/>
    <w:uiPriority w:val="0"/>
    <w:rPr>
      <w:rFonts w:ascii="Times New Roman" w:hAnsi="Times New Roman" w:eastAsia="宋体" w:cs="Times New Roman"/>
      <w:kern w:val="2"/>
      <w:sz w:val="28"/>
      <w:szCs w:val="28"/>
    </w:rPr>
  </w:style>
  <w:style w:type="character" w:customStyle="1" w:styleId="65">
    <w:name w:val="标题 3 Char"/>
    <w:basedOn w:val="17"/>
    <w:link w:val="2"/>
    <w:qFormat/>
    <w:uiPriority w:val="0"/>
    <w:rPr>
      <w:rFonts w:ascii="Times New Roman" w:hAnsi="Times New Roman" w:eastAsia="仿宋_GB2312" w:cs="Times New Roman"/>
      <w:kern w:val="2"/>
      <w:sz w:val="32"/>
      <w:szCs w:val="24"/>
    </w:rPr>
  </w:style>
  <w:style w:type="paragraph" w:customStyle="1" w:styleId="66">
    <w:name w:val="Char"/>
    <w:basedOn w:val="1"/>
    <w:uiPriority w:val="0"/>
    <w:rPr>
      <w:rFonts w:ascii="仿宋_GB2312" w:hAnsi="&lt;p&gt;" w:eastAsia="仿宋_GB2312" w:cs="仿宋_GB2312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04E2-0062-452B-AE79-2532831766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26</Pages>
  <Words>13738</Words>
  <Characters>13827</Characters>
  <Lines>98</Lines>
  <Paragraphs>27</Paragraphs>
  <TotalTime>476</TotalTime>
  <ScaleCrop>false</ScaleCrop>
  <LinksUpToDate>false</LinksUpToDate>
  <CharactersWithSpaces>13827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2020-12-14T02:38:00Z</dcterms:created>
  <dc:creator>pc1</dc:creator>
  <cp:lastModifiedBy>WPS_1604918664</cp:lastModifiedBy>
  <cp:lastPrinted>2022-04-15T09:25:00Z</cp:lastPrinted>
  <dcterms:modified xsi:type="dcterms:W3CDTF">2023-07-05T01:49:05Z</dcterms:modified>
  <cp:revision>271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82A850595668470AA05EE8EC8857F59B_13</vt:lpwstr>
  </property>
</Properties>
</file>