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ind w:firstLine="0" w:firstLineChars="0"/>
        <w:jc w:val="center"/>
        <w:rPr>
          <w:rFonts w:ascii="仿宋_GB2312"/>
          <w:szCs w:val="32"/>
        </w:rPr>
      </w:pPr>
      <w:bookmarkStart w:id="112" w:name="_GoBack"/>
      <w:bookmarkEnd w:id="112"/>
      <w:r>
        <w:rPr>
          <w:rFonts w:hint="eastAsia" w:ascii="仿宋_GB2312" w:cs="仿宋_GB2312"/>
          <w:szCs w:val="32"/>
        </w:rPr>
        <w:t>历下政字〔</w:t>
      </w:r>
      <w:r>
        <w:rPr>
          <w:rFonts w:ascii="仿宋_GB2312" w:cs="仿宋_GB2312"/>
          <w:szCs w:val="32"/>
        </w:rPr>
        <w:t>20</w:t>
      </w:r>
      <w:r>
        <w:rPr>
          <w:rFonts w:hint="eastAsia" w:ascii="仿宋_GB2312" w:cs="仿宋_GB2312"/>
          <w:szCs w:val="32"/>
        </w:rPr>
        <w:t>23〕2号</w:t>
      </w:r>
    </w:p>
    <w:p>
      <w:pPr>
        <w:ind w:firstLine="640"/>
        <w:jc w:val="center"/>
        <w:rPr>
          <w:rFonts w:ascii="仿宋_GB2312"/>
          <w:szCs w:val="32"/>
        </w:rPr>
      </w:pPr>
    </w:p>
    <w:p>
      <w:pPr>
        <w:spacing w:before="156" w:beforeLines="50"/>
        <w:ind w:firstLine="0" w:firstLineChars="0"/>
        <w:jc w:val="center"/>
        <w:rPr>
          <w:rFonts w:ascii="方正小标宋简体" w:hAnsi="宋体" w:eastAsia="方正小标宋简体"/>
          <w:sz w:val="44"/>
          <w:szCs w:val="44"/>
        </w:rPr>
      </w:pPr>
      <w:r>
        <w:rPr>
          <w:rFonts w:hint="eastAsia" w:ascii="方正小标宋简体" w:hAnsi="宋体" w:eastAsia="方正小标宋简体" w:cs="方正小标宋简体"/>
          <w:sz w:val="44"/>
          <w:szCs w:val="44"/>
        </w:rPr>
        <w:t>济南市历下区人民政府</w:t>
      </w:r>
    </w:p>
    <w:p>
      <w:pPr>
        <w:ind w:firstLine="0" w:firstLineChars="0"/>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关于印发济南市历下区“十四五”水生态</w:t>
      </w:r>
    </w:p>
    <w:p>
      <w:pPr>
        <w:ind w:firstLine="0" w:firstLineChars="0"/>
        <w:jc w:val="center"/>
        <w:rPr>
          <w:rFonts w:ascii="方正小标宋简体" w:hAnsi="宋体" w:eastAsia="方正小标宋简体" w:cs="宋体"/>
          <w:bCs/>
          <w:sz w:val="44"/>
          <w:szCs w:val="44"/>
        </w:rPr>
      </w:pPr>
      <w:r>
        <w:rPr>
          <w:rFonts w:hint="eastAsia" w:ascii="方正小标宋简体" w:hAnsi="方正小标宋简体" w:eastAsia="方正小标宋简体" w:cs="方正小标宋简体"/>
          <w:bCs/>
          <w:sz w:val="44"/>
          <w:szCs w:val="44"/>
        </w:rPr>
        <w:t>环境保护规划的通知</w:t>
      </w:r>
    </w:p>
    <w:p>
      <w:pPr>
        <w:ind w:firstLine="720"/>
        <w:rPr>
          <w:rFonts w:ascii="方正小标宋简体" w:hAnsi="宋体" w:eastAsia="方正小标宋简体" w:cs="宋体"/>
          <w:bCs/>
          <w:sz w:val="36"/>
          <w:szCs w:val="36"/>
        </w:rPr>
      </w:pPr>
    </w:p>
    <w:p>
      <w:pPr>
        <w:ind w:firstLine="0" w:firstLineChars="0"/>
        <w:rPr>
          <w:rFonts w:ascii="仿宋_GB2312" w:hAnsi="仿宋_GB2312" w:cs="仿宋_GB2312"/>
          <w:szCs w:val="32"/>
        </w:rPr>
      </w:pPr>
      <w:r>
        <w:rPr>
          <w:rFonts w:hint="eastAsia" w:ascii="仿宋_GB2312" w:hAnsi="仿宋_GB2312" w:cs="仿宋_GB2312"/>
          <w:szCs w:val="32"/>
        </w:rPr>
        <w:t>各街道办事处，区政府各部门（单位）：</w:t>
      </w:r>
    </w:p>
    <w:p>
      <w:pPr>
        <w:ind w:firstLine="640"/>
        <w:rPr>
          <w:rFonts w:ascii="仿宋_GB2312" w:hAnsi="仿宋_GB2312" w:cs="仿宋_GB2312"/>
          <w:szCs w:val="32"/>
        </w:rPr>
      </w:pPr>
      <w:r>
        <w:rPr>
          <w:rFonts w:hint="eastAsia" w:ascii="仿宋_GB2312" w:hAnsi="仿宋_GB2312" w:cs="仿宋_GB2312"/>
          <w:szCs w:val="32"/>
        </w:rPr>
        <w:t>现将《济南市历下区“十四五”水生态环境保护规划》印发给你们，请认真组织实施。</w:t>
      </w:r>
    </w:p>
    <w:p>
      <w:pPr>
        <w:ind w:firstLine="5120" w:firstLineChars="1600"/>
        <w:rPr>
          <w:rFonts w:ascii="仿宋_GB2312" w:hAnsi="仿宋_GB2312" w:cs="仿宋_GB2312"/>
          <w:szCs w:val="32"/>
        </w:rPr>
      </w:pPr>
    </w:p>
    <w:p>
      <w:pPr>
        <w:ind w:firstLine="5120" w:firstLineChars="1600"/>
        <w:rPr>
          <w:rFonts w:ascii="仿宋_GB2312" w:hAnsi="仿宋_GB2312" w:cs="仿宋_GB2312"/>
          <w:szCs w:val="32"/>
        </w:rPr>
      </w:pPr>
    </w:p>
    <w:p>
      <w:pPr>
        <w:ind w:firstLine="4640" w:firstLineChars="1450"/>
        <w:rPr>
          <w:rFonts w:ascii="仿宋_GB2312" w:hAnsi="仿宋_GB2312" w:cs="仿宋_GB2312"/>
          <w:szCs w:val="32"/>
        </w:rPr>
      </w:pPr>
      <w:r>
        <w:rPr>
          <w:rFonts w:hint="eastAsia" w:ascii="仿宋_GB2312" w:hAnsi="仿宋_GB2312" w:cs="仿宋_GB2312"/>
          <w:szCs w:val="32"/>
        </w:rPr>
        <w:t>济南市历下区人民政府</w:t>
      </w:r>
    </w:p>
    <w:p>
      <w:pPr>
        <w:ind w:firstLine="4998" w:firstLineChars="1562"/>
        <w:rPr>
          <w:rFonts w:ascii="仿宋_GB2312" w:hAnsi="仿宋_GB2312" w:cs="仿宋_GB2312"/>
          <w:szCs w:val="32"/>
        </w:rPr>
      </w:pPr>
      <w:r>
        <w:rPr>
          <w:rFonts w:hint="eastAsia" w:ascii="仿宋_GB2312" w:hAnsi="仿宋_GB2312" w:cs="仿宋_GB2312"/>
          <w:szCs w:val="32"/>
        </w:rPr>
        <w:t>2023年1月29日</w:t>
      </w:r>
    </w:p>
    <w:p>
      <w:pPr>
        <w:ind w:firstLine="640"/>
        <w:rPr>
          <w:rFonts w:ascii="仿宋_GB2312" w:hAnsi="仿宋_GB2312" w:cs="仿宋_GB2312"/>
          <w:szCs w:val="32"/>
        </w:rPr>
      </w:pPr>
      <w:r>
        <w:rPr>
          <w:rFonts w:hint="eastAsia" w:ascii="仿宋_GB2312" w:hAnsi="仿宋_GB2312" w:cs="仿宋_GB2312"/>
          <w:szCs w:val="32"/>
        </w:rPr>
        <w:t>（此件公开发布）</w:t>
      </w:r>
    </w:p>
    <w:p>
      <w:pPr>
        <w:spacing w:line="400" w:lineRule="exact"/>
        <w:ind w:firstLine="640"/>
        <w:rPr>
          <w:rFonts w:ascii="仿宋_GB2312" w:hAnsi="仿宋"/>
          <w:szCs w:val="32"/>
        </w:rPr>
      </w:pPr>
    </w:p>
    <w:p>
      <w:pPr>
        <w:spacing w:line="400" w:lineRule="exact"/>
        <w:ind w:firstLine="640"/>
        <w:rPr>
          <w:rFonts w:hint="eastAsia" w:ascii="仿宋_GB2312" w:hAnsi="仿宋"/>
          <w:szCs w:val="32"/>
        </w:rPr>
      </w:pPr>
    </w:p>
    <w:p>
      <w:pPr>
        <w:spacing w:line="400" w:lineRule="exact"/>
        <w:ind w:firstLine="640"/>
        <w:rPr>
          <w:rFonts w:hint="eastAsia" w:ascii="仿宋_GB2312" w:hAnsi="仿宋"/>
          <w:szCs w:val="32"/>
        </w:rPr>
      </w:pPr>
    </w:p>
    <w:p>
      <w:pPr>
        <w:spacing w:line="400" w:lineRule="exact"/>
        <w:ind w:firstLine="640"/>
        <w:rPr>
          <w:rFonts w:hint="eastAsia" w:ascii="仿宋_GB2312" w:hAnsi="仿宋"/>
          <w:szCs w:val="32"/>
        </w:rPr>
      </w:pPr>
    </w:p>
    <w:p>
      <w:pPr>
        <w:spacing w:line="400" w:lineRule="exact"/>
        <w:ind w:firstLine="640"/>
        <w:rPr>
          <w:rFonts w:hint="eastAsia" w:ascii="仿宋_GB2312" w:hAnsi="仿宋"/>
          <w:szCs w:val="32"/>
        </w:rPr>
      </w:pPr>
    </w:p>
    <w:p>
      <w:pPr>
        <w:spacing w:line="400" w:lineRule="exact"/>
        <w:ind w:firstLine="640"/>
        <w:rPr>
          <w:rFonts w:hint="eastAsia" w:ascii="仿宋_GB2312" w:hAnsi="仿宋"/>
          <w:szCs w:val="32"/>
        </w:rPr>
      </w:pPr>
    </w:p>
    <w:p>
      <w:pPr>
        <w:spacing w:line="400" w:lineRule="exact"/>
        <w:ind w:firstLine="640"/>
        <w:rPr>
          <w:rFonts w:hint="eastAsia" w:ascii="仿宋_GB2312" w:hAnsi="仿宋"/>
          <w:szCs w:val="32"/>
        </w:rPr>
      </w:pPr>
    </w:p>
    <w:p>
      <w:pPr>
        <w:spacing w:line="400" w:lineRule="exact"/>
        <w:ind w:firstLine="640"/>
        <w:rPr>
          <w:rFonts w:hint="eastAsia" w:ascii="仿宋_GB2312" w:hAnsi="仿宋"/>
          <w:szCs w:val="32"/>
        </w:rPr>
      </w:pPr>
    </w:p>
    <w:p>
      <w:pPr>
        <w:spacing w:line="400" w:lineRule="exact"/>
        <w:ind w:firstLine="640"/>
        <w:rPr>
          <w:rFonts w:hint="eastAsia" w:ascii="仿宋_GB2312" w:hAnsi="仿宋"/>
          <w:szCs w:val="32"/>
        </w:rPr>
      </w:pPr>
    </w:p>
    <w:p>
      <w:pPr>
        <w:spacing w:line="400" w:lineRule="exact"/>
        <w:ind w:firstLine="640"/>
        <w:rPr>
          <w:rFonts w:ascii="仿宋_GB2312" w:hAnsi="仿宋"/>
          <w:szCs w:val="32"/>
        </w:rPr>
      </w:pPr>
    </w:p>
    <w:p>
      <w:pPr>
        <w:ind w:firstLine="0" w:firstLineChars="0"/>
        <w:jc w:val="center"/>
        <w:rPr>
          <w:rFonts w:ascii="方正小标宋简体" w:eastAsia="方正小标宋简体"/>
          <w:sz w:val="44"/>
          <w:szCs w:val="44"/>
        </w:rPr>
      </w:pPr>
      <w:r>
        <w:rPr>
          <w:rFonts w:hint="eastAsia" w:ascii="方正小标宋简体" w:eastAsia="方正小标宋简体"/>
          <w:sz w:val="44"/>
          <w:szCs w:val="44"/>
        </w:rPr>
        <w:t>济南市历下区“十四五”水生态环境保护规划</w:t>
      </w:r>
    </w:p>
    <w:p>
      <w:pPr>
        <w:ind w:firstLine="640"/>
      </w:pPr>
    </w:p>
    <w:p>
      <w:pPr>
        <w:ind w:firstLine="640"/>
        <w:rPr>
          <w:rFonts w:ascii="黑体" w:hAnsi="黑体" w:eastAsia="黑体"/>
        </w:rPr>
      </w:pPr>
      <w:bookmarkStart w:id="0" w:name="_Toc122990783"/>
      <w:r>
        <w:rPr>
          <w:rFonts w:hint="eastAsia" w:ascii="黑体" w:hAnsi="黑体" w:eastAsia="黑体"/>
        </w:rPr>
        <w:t>一、基础情况</w:t>
      </w:r>
      <w:bookmarkEnd w:id="0"/>
    </w:p>
    <w:p>
      <w:pPr>
        <w:ind w:firstLine="640"/>
        <w:rPr>
          <w:rFonts w:ascii="楷体_GB2312" w:eastAsia="楷体_GB2312"/>
        </w:rPr>
      </w:pPr>
      <w:bookmarkStart w:id="1" w:name="_Toc122898351"/>
      <w:bookmarkStart w:id="2" w:name="_Toc122990784"/>
      <w:r>
        <w:rPr>
          <w:rFonts w:hint="eastAsia" w:ascii="楷体_GB2312" w:eastAsia="楷体_GB2312"/>
        </w:rPr>
        <w:t>（一）区域概况</w:t>
      </w:r>
      <w:bookmarkEnd w:id="1"/>
      <w:bookmarkEnd w:id="2"/>
      <w:r>
        <w:rPr>
          <w:rFonts w:hint="eastAsia" w:ascii="楷体_GB2312" w:eastAsia="楷体_GB2312"/>
        </w:rPr>
        <w:t>。</w:t>
      </w:r>
      <w:r>
        <w:rPr>
          <w:rFonts w:hint="eastAsia" w:ascii="仿宋_GB2312"/>
        </w:rPr>
        <w:t>历下区位于济南市东部，东与济南高新技术开发区相接，南北与历城区相接，西、西北与市中区和天桥区相邻。辖13个街道，分别是泉城路街道、大明湖街道、东关街道、建筑新村街道、千佛</w:t>
      </w:r>
      <w:r>
        <w:rPr>
          <w:rFonts w:hint="eastAsia"/>
        </w:rPr>
        <w:t>山街道、趵突泉街道、解放路街道、文化东路街道、燕山街道、甸柳新村街道、姚家街道、智远街道、龙洞街道。</w:t>
      </w:r>
    </w:p>
    <w:p>
      <w:pPr>
        <w:ind w:firstLine="640"/>
        <w:rPr>
          <w:rFonts w:ascii="楷体_GB2312" w:eastAsia="楷体_GB2312"/>
        </w:rPr>
      </w:pPr>
      <w:bookmarkStart w:id="3" w:name="_Toc122898352"/>
      <w:bookmarkStart w:id="4" w:name="_Toc122990785"/>
      <w:r>
        <w:rPr>
          <w:rFonts w:hint="eastAsia" w:ascii="楷体_GB2312" w:eastAsia="楷体_GB2312"/>
        </w:rPr>
        <w:t>（二）水系概况</w:t>
      </w:r>
      <w:bookmarkEnd w:id="3"/>
      <w:bookmarkEnd w:id="4"/>
      <w:r>
        <w:rPr>
          <w:rFonts w:hint="eastAsia" w:ascii="楷体_GB2312" w:eastAsia="楷体_GB2312"/>
        </w:rPr>
        <w:t>。</w:t>
      </w:r>
      <w:r>
        <w:rPr>
          <w:rFonts w:hint="eastAsia"/>
        </w:rPr>
        <w:t>历下区</w:t>
      </w:r>
      <w:r>
        <w:t>辖区</w:t>
      </w:r>
      <w:r>
        <w:rPr>
          <w:rFonts w:hint="eastAsia"/>
        </w:rPr>
        <w:t>内水系属于小清河</w:t>
      </w:r>
      <w:r>
        <w:t>水系。小清河是山东省泄洪、排涝、灌溉等综合性大型人工河道，发源于玉清湖街道黄河右堤睦里庄闸，与黄河大致平行流向东北，至匡山庄出境</w:t>
      </w:r>
      <w:r>
        <w:rPr>
          <w:rFonts w:hint="eastAsia"/>
        </w:rPr>
        <w:t>。辖区内有东泺河、西泺河、柳行河、全福河、大辛河以及护城河等主要河流。</w:t>
      </w:r>
    </w:p>
    <w:p>
      <w:pPr>
        <w:ind w:firstLine="640"/>
      </w:pPr>
      <w:r>
        <w:rPr>
          <w:rFonts w:hint="eastAsia"/>
        </w:rPr>
        <w:t>辖区内地下水按照自然因素和水文地质条件划分，属鲁中低山丘陵北麓山前平原水文地质区双重结构，上部为第四系孔隙水含水组，其下隐伏有基岩裂隙水、岩溶水含水岩组，是熔岩水的径流排泄区，由此形成泉群地带，济南市著名泉水多汇集于此地。辖区内有趵突泉、黑虎泉、珍珠泉三大泉群。湖泊有大明湖、百花洲等。</w:t>
      </w:r>
    </w:p>
    <w:p>
      <w:pPr>
        <w:ind w:firstLine="640"/>
        <w:rPr>
          <w:rFonts w:ascii="楷体_GB2312" w:eastAsia="楷体_GB2312"/>
        </w:rPr>
      </w:pPr>
      <w:bookmarkStart w:id="5" w:name="_Toc122898353"/>
      <w:bookmarkStart w:id="6" w:name="_Toc122990786"/>
      <w:r>
        <w:rPr>
          <w:rFonts w:hint="eastAsia" w:ascii="楷体_GB2312" w:eastAsia="楷体_GB2312"/>
        </w:rPr>
        <w:t>（三）水生态环境现状</w:t>
      </w:r>
      <w:bookmarkEnd w:id="5"/>
      <w:bookmarkEnd w:id="6"/>
      <w:r>
        <w:rPr>
          <w:rFonts w:hint="eastAsia" w:ascii="楷体_GB2312" w:eastAsia="楷体_GB2312"/>
        </w:rPr>
        <w:t>。</w:t>
      </w:r>
    </w:p>
    <w:p>
      <w:pPr>
        <w:ind w:firstLine="640"/>
        <w:rPr>
          <w:rFonts w:ascii="仿宋_GB2312"/>
        </w:rPr>
      </w:pPr>
      <w:bookmarkStart w:id="7" w:name="_Toc122990787"/>
      <w:bookmarkStart w:id="8" w:name="_Toc122898354"/>
      <w:bookmarkStart w:id="9" w:name="_Toc122898397"/>
      <w:r>
        <w:rPr>
          <w:rFonts w:hint="eastAsia" w:ascii="仿宋_GB2312"/>
        </w:rPr>
        <w:t>1. 河流水质</w:t>
      </w:r>
      <w:bookmarkEnd w:id="7"/>
      <w:bookmarkEnd w:id="8"/>
      <w:bookmarkEnd w:id="9"/>
      <w:r>
        <w:rPr>
          <w:rFonts w:hint="eastAsia" w:ascii="仿宋_GB2312"/>
        </w:rPr>
        <w:t>。“十三五”期间，历下区曾设置8个监测断面，分别是东泺河明湖北路桥断面、柳行河黄台南路桥断面、全福河历下大厦断面（2020年为工业南路桥断面）、西泺河山大趵突泉校区北门西侧（2020年为省中医断面）、大辛河龙驰路断面、大明湖湖中断面、大辛河花园东路桥断面、黄台南路边沟山大路断面，均为市控考核断面。2016-2020年各断面水质情况如表1所示。“十四五”期间，辖区内增加大明湖历下亭断面，该断面为省控断面。</w:t>
      </w:r>
    </w:p>
    <w:p>
      <w:pPr>
        <w:ind w:firstLine="0" w:firstLineChars="0"/>
        <w:jc w:val="center"/>
        <w:rPr>
          <w:rFonts w:ascii="仿宋_GB2312"/>
          <w:sz w:val="28"/>
          <w:szCs w:val="28"/>
        </w:rPr>
      </w:pPr>
      <w:r>
        <w:rPr>
          <w:rFonts w:hint="eastAsia" w:ascii="黑体" w:hAnsi="黑体" w:eastAsia="黑体"/>
          <w:sz w:val="28"/>
          <w:szCs w:val="28"/>
        </w:rPr>
        <w:t>表1 “十三五”期间历下区市控断面水质年均值情况</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359"/>
        <w:gridCol w:w="1168"/>
        <w:gridCol w:w="834"/>
        <w:gridCol w:w="761"/>
        <w:gridCol w:w="740"/>
        <w:gridCol w:w="740"/>
        <w:gridCol w:w="740"/>
        <w:gridCol w:w="740"/>
        <w:gridCol w:w="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blHeader/>
          <w:jc w:val="center"/>
        </w:trPr>
        <w:tc>
          <w:tcPr>
            <w:tcW w:w="700" w:type="dxa"/>
            <w:vMerge w:val="restart"/>
            <w:vAlign w:val="center"/>
          </w:tcPr>
          <w:p>
            <w:pPr>
              <w:adjustRightInd w:val="0"/>
              <w:snapToGrid w:val="0"/>
              <w:spacing w:line="240" w:lineRule="auto"/>
              <w:ind w:firstLine="0" w:firstLineChars="0"/>
              <w:jc w:val="center"/>
              <w:rPr>
                <w:rFonts w:ascii="黑体" w:hAnsi="黑体" w:eastAsia="黑体" w:cs="Times New Roman"/>
                <w:kern w:val="0"/>
                <w:sz w:val="21"/>
                <w:szCs w:val="21"/>
              </w:rPr>
            </w:pPr>
            <w:r>
              <w:rPr>
                <w:rFonts w:ascii="黑体" w:hAnsi="黑体" w:eastAsia="黑体" w:cs="Times New Roman"/>
                <w:kern w:val="0"/>
                <w:sz w:val="21"/>
                <w:szCs w:val="21"/>
              </w:rPr>
              <w:t>序号</w:t>
            </w:r>
          </w:p>
        </w:tc>
        <w:tc>
          <w:tcPr>
            <w:tcW w:w="1359" w:type="dxa"/>
            <w:vMerge w:val="restart"/>
            <w:vAlign w:val="center"/>
          </w:tcPr>
          <w:p>
            <w:pPr>
              <w:adjustRightInd w:val="0"/>
              <w:snapToGrid w:val="0"/>
              <w:spacing w:line="240" w:lineRule="auto"/>
              <w:ind w:firstLine="0" w:firstLineChars="0"/>
              <w:jc w:val="center"/>
              <w:rPr>
                <w:rFonts w:ascii="黑体" w:hAnsi="黑体" w:eastAsia="黑体" w:cs="Times New Roman"/>
                <w:kern w:val="0"/>
                <w:sz w:val="21"/>
                <w:szCs w:val="21"/>
              </w:rPr>
            </w:pPr>
            <w:r>
              <w:rPr>
                <w:rFonts w:ascii="黑体" w:hAnsi="黑体" w:eastAsia="黑体" w:cs="Times New Roman"/>
                <w:kern w:val="0"/>
                <w:sz w:val="21"/>
                <w:szCs w:val="21"/>
              </w:rPr>
              <w:t>名称</w:t>
            </w:r>
          </w:p>
        </w:tc>
        <w:tc>
          <w:tcPr>
            <w:tcW w:w="1168" w:type="dxa"/>
            <w:vMerge w:val="restart"/>
            <w:vAlign w:val="center"/>
          </w:tcPr>
          <w:p>
            <w:pPr>
              <w:adjustRightInd w:val="0"/>
              <w:snapToGrid w:val="0"/>
              <w:spacing w:line="240" w:lineRule="auto"/>
              <w:ind w:firstLine="0" w:firstLineChars="0"/>
              <w:jc w:val="center"/>
              <w:rPr>
                <w:rFonts w:ascii="黑体" w:hAnsi="黑体" w:eastAsia="黑体" w:cs="Times New Roman"/>
                <w:kern w:val="0"/>
                <w:sz w:val="21"/>
                <w:szCs w:val="21"/>
              </w:rPr>
            </w:pPr>
            <w:r>
              <w:rPr>
                <w:rFonts w:hint="eastAsia" w:ascii="黑体" w:hAnsi="黑体" w:eastAsia="黑体" w:cs="Times New Roman"/>
                <w:kern w:val="0"/>
                <w:sz w:val="21"/>
                <w:szCs w:val="21"/>
              </w:rPr>
              <w:t>河流</w:t>
            </w:r>
          </w:p>
        </w:tc>
        <w:tc>
          <w:tcPr>
            <w:tcW w:w="834" w:type="dxa"/>
            <w:vMerge w:val="restart"/>
            <w:vAlign w:val="center"/>
          </w:tcPr>
          <w:p>
            <w:pPr>
              <w:adjustRightInd w:val="0"/>
              <w:snapToGrid w:val="0"/>
              <w:spacing w:line="240" w:lineRule="auto"/>
              <w:ind w:firstLine="0" w:firstLineChars="0"/>
              <w:jc w:val="center"/>
              <w:rPr>
                <w:rFonts w:ascii="黑体" w:hAnsi="黑体" w:eastAsia="黑体" w:cs="Times New Roman"/>
                <w:kern w:val="0"/>
                <w:sz w:val="21"/>
                <w:szCs w:val="21"/>
              </w:rPr>
            </w:pPr>
            <w:r>
              <w:rPr>
                <w:rFonts w:hint="eastAsia" w:ascii="黑体" w:hAnsi="黑体" w:eastAsia="黑体" w:cs="Times New Roman"/>
                <w:kern w:val="0"/>
                <w:sz w:val="21"/>
                <w:szCs w:val="21"/>
              </w:rPr>
              <w:t>级别</w:t>
            </w:r>
          </w:p>
        </w:tc>
        <w:tc>
          <w:tcPr>
            <w:tcW w:w="761" w:type="dxa"/>
            <w:vMerge w:val="restart"/>
            <w:vAlign w:val="center"/>
          </w:tcPr>
          <w:p>
            <w:pPr>
              <w:adjustRightInd w:val="0"/>
              <w:snapToGrid w:val="0"/>
              <w:spacing w:line="240" w:lineRule="auto"/>
              <w:ind w:firstLine="0" w:firstLineChars="0"/>
              <w:jc w:val="center"/>
              <w:rPr>
                <w:rFonts w:ascii="黑体" w:hAnsi="黑体" w:eastAsia="黑体" w:cs="Times New Roman"/>
                <w:kern w:val="0"/>
                <w:sz w:val="21"/>
                <w:szCs w:val="21"/>
              </w:rPr>
            </w:pPr>
            <w:r>
              <w:rPr>
                <w:rFonts w:ascii="黑体" w:hAnsi="黑体" w:eastAsia="黑体" w:cs="Times New Roman"/>
                <w:kern w:val="0"/>
                <w:sz w:val="21"/>
                <w:szCs w:val="21"/>
              </w:rPr>
              <w:t>水质目标</w:t>
            </w:r>
          </w:p>
        </w:tc>
        <w:tc>
          <w:tcPr>
            <w:tcW w:w="3700" w:type="dxa"/>
            <w:gridSpan w:val="5"/>
            <w:vAlign w:val="center"/>
          </w:tcPr>
          <w:p>
            <w:pPr>
              <w:adjustRightInd w:val="0"/>
              <w:snapToGrid w:val="0"/>
              <w:spacing w:line="240" w:lineRule="auto"/>
              <w:ind w:firstLine="0" w:firstLineChars="0"/>
              <w:jc w:val="center"/>
              <w:rPr>
                <w:rFonts w:ascii="黑体" w:hAnsi="黑体" w:eastAsia="黑体" w:cs="Times New Roman"/>
                <w:kern w:val="0"/>
                <w:sz w:val="21"/>
                <w:szCs w:val="21"/>
              </w:rPr>
            </w:pPr>
            <w:r>
              <w:rPr>
                <w:rFonts w:ascii="黑体" w:hAnsi="黑体" w:eastAsia="黑体" w:cs="Times New Roman"/>
                <w:kern w:val="0"/>
                <w:sz w:val="21"/>
                <w:szCs w:val="21"/>
              </w:rPr>
              <w:t>年份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blHeader/>
          <w:jc w:val="center"/>
        </w:trPr>
        <w:tc>
          <w:tcPr>
            <w:tcW w:w="700" w:type="dxa"/>
            <w:vMerge w:val="continue"/>
            <w:vAlign w:val="center"/>
          </w:tcPr>
          <w:p>
            <w:pPr>
              <w:adjustRightInd w:val="0"/>
              <w:snapToGrid w:val="0"/>
              <w:spacing w:line="240" w:lineRule="auto"/>
              <w:ind w:firstLine="0" w:firstLineChars="0"/>
              <w:jc w:val="center"/>
              <w:rPr>
                <w:rFonts w:ascii="黑体" w:hAnsi="黑体" w:eastAsia="黑体" w:cs="Times New Roman"/>
                <w:kern w:val="0"/>
                <w:sz w:val="21"/>
                <w:szCs w:val="21"/>
              </w:rPr>
            </w:pPr>
          </w:p>
        </w:tc>
        <w:tc>
          <w:tcPr>
            <w:tcW w:w="1359" w:type="dxa"/>
            <w:vMerge w:val="continue"/>
            <w:vAlign w:val="center"/>
          </w:tcPr>
          <w:p>
            <w:pPr>
              <w:adjustRightInd w:val="0"/>
              <w:snapToGrid w:val="0"/>
              <w:spacing w:line="240" w:lineRule="auto"/>
              <w:ind w:firstLine="0" w:firstLineChars="0"/>
              <w:jc w:val="center"/>
              <w:rPr>
                <w:rFonts w:ascii="黑体" w:hAnsi="黑体" w:eastAsia="黑体" w:cs="Times New Roman"/>
                <w:kern w:val="0"/>
                <w:sz w:val="21"/>
                <w:szCs w:val="21"/>
              </w:rPr>
            </w:pPr>
          </w:p>
        </w:tc>
        <w:tc>
          <w:tcPr>
            <w:tcW w:w="1168" w:type="dxa"/>
            <w:vMerge w:val="continue"/>
            <w:vAlign w:val="center"/>
          </w:tcPr>
          <w:p>
            <w:pPr>
              <w:adjustRightInd w:val="0"/>
              <w:snapToGrid w:val="0"/>
              <w:spacing w:line="240" w:lineRule="auto"/>
              <w:ind w:firstLine="0" w:firstLineChars="0"/>
              <w:jc w:val="center"/>
              <w:rPr>
                <w:rFonts w:ascii="黑体" w:hAnsi="黑体" w:eastAsia="黑体" w:cs="Times New Roman"/>
                <w:kern w:val="0"/>
                <w:sz w:val="21"/>
                <w:szCs w:val="21"/>
              </w:rPr>
            </w:pPr>
          </w:p>
        </w:tc>
        <w:tc>
          <w:tcPr>
            <w:tcW w:w="834" w:type="dxa"/>
            <w:vMerge w:val="continue"/>
            <w:vAlign w:val="center"/>
          </w:tcPr>
          <w:p>
            <w:pPr>
              <w:adjustRightInd w:val="0"/>
              <w:snapToGrid w:val="0"/>
              <w:spacing w:line="240" w:lineRule="auto"/>
              <w:ind w:firstLine="0" w:firstLineChars="0"/>
              <w:jc w:val="center"/>
              <w:rPr>
                <w:rFonts w:ascii="黑体" w:hAnsi="黑体" w:eastAsia="黑体" w:cs="Times New Roman"/>
                <w:kern w:val="0"/>
                <w:sz w:val="21"/>
                <w:szCs w:val="21"/>
              </w:rPr>
            </w:pPr>
          </w:p>
        </w:tc>
        <w:tc>
          <w:tcPr>
            <w:tcW w:w="761" w:type="dxa"/>
            <w:vMerge w:val="continue"/>
            <w:vAlign w:val="center"/>
          </w:tcPr>
          <w:p>
            <w:pPr>
              <w:adjustRightInd w:val="0"/>
              <w:snapToGrid w:val="0"/>
              <w:spacing w:line="240" w:lineRule="auto"/>
              <w:ind w:firstLine="0" w:firstLineChars="0"/>
              <w:jc w:val="center"/>
              <w:rPr>
                <w:rFonts w:ascii="黑体" w:hAnsi="黑体" w:eastAsia="黑体" w:cs="Times New Roman"/>
                <w:kern w:val="0"/>
                <w:sz w:val="21"/>
                <w:szCs w:val="21"/>
              </w:rPr>
            </w:pPr>
          </w:p>
        </w:tc>
        <w:tc>
          <w:tcPr>
            <w:tcW w:w="740" w:type="dxa"/>
            <w:vAlign w:val="center"/>
          </w:tcPr>
          <w:p>
            <w:pPr>
              <w:adjustRightInd w:val="0"/>
              <w:snapToGrid w:val="0"/>
              <w:spacing w:line="240" w:lineRule="auto"/>
              <w:ind w:firstLine="0" w:firstLineChars="0"/>
              <w:jc w:val="center"/>
              <w:rPr>
                <w:rFonts w:ascii="黑体" w:hAnsi="黑体" w:eastAsia="黑体" w:cs="Times New Roman"/>
                <w:kern w:val="0"/>
                <w:sz w:val="21"/>
                <w:szCs w:val="21"/>
              </w:rPr>
            </w:pPr>
            <w:r>
              <w:rPr>
                <w:rFonts w:ascii="黑体" w:hAnsi="黑体" w:eastAsia="黑体" w:cs="Times New Roman"/>
                <w:kern w:val="0"/>
                <w:sz w:val="21"/>
                <w:szCs w:val="21"/>
              </w:rPr>
              <w:t>2016</w:t>
            </w:r>
          </w:p>
        </w:tc>
        <w:tc>
          <w:tcPr>
            <w:tcW w:w="740" w:type="dxa"/>
            <w:vAlign w:val="center"/>
          </w:tcPr>
          <w:p>
            <w:pPr>
              <w:adjustRightInd w:val="0"/>
              <w:snapToGrid w:val="0"/>
              <w:spacing w:line="240" w:lineRule="auto"/>
              <w:ind w:firstLine="0" w:firstLineChars="0"/>
              <w:jc w:val="center"/>
              <w:rPr>
                <w:rFonts w:ascii="黑体" w:hAnsi="黑体" w:eastAsia="黑体" w:cs="Times New Roman"/>
                <w:kern w:val="0"/>
                <w:sz w:val="21"/>
                <w:szCs w:val="21"/>
              </w:rPr>
            </w:pPr>
            <w:r>
              <w:rPr>
                <w:rFonts w:ascii="黑体" w:hAnsi="黑体" w:eastAsia="黑体" w:cs="Times New Roman"/>
                <w:kern w:val="0"/>
                <w:sz w:val="21"/>
                <w:szCs w:val="21"/>
              </w:rPr>
              <w:t>2017</w:t>
            </w:r>
          </w:p>
        </w:tc>
        <w:tc>
          <w:tcPr>
            <w:tcW w:w="740" w:type="dxa"/>
            <w:vAlign w:val="center"/>
          </w:tcPr>
          <w:p>
            <w:pPr>
              <w:adjustRightInd w:val="0"/>
              <w:snapToGrid w:val="0"/>
              <w:spacing w:line="240" w:lineRule="auto"/>
              <w:ind w:firstLine="0" w:firstLineChars="0"/>
              <w:jc w:val="center"/>
              <w:rPr>
                <w:rFonts w:ascii="黑体" w:hAnsi="黑体" w:eastAsia="黑体" w:cs="Times New Roman"/>
                <w:kern w:val="0"/>
                <w:sz w:val="21"/>
                <w:szCs w:val="21"/>
              </w:rPr>
            </w:pPr>
            <w:r>
              <w:rPr>
                <w:rFonts w:ascii="黑体" w:hAnsi="黑体" w:eastAsia="黑体" w:cs="Times New Roman"/>
                <w:kern w:val="0"/>
                <w:sz w:val="21"/>
                <w:szCs w:val="21"/>
              </w:rPr>
              <w:t>2018</w:t>
            </w:r>
          </w:p>
        </w:tc>
        <w:tc>
          <w:tcPr>
            <w:tcW w:w="740" w:type="dxa"/>
            <w:vAlign w:val="center"/>
          </w:tcPr>
          <w:p>
            <w:pPr>
              <w:adjustRightInd w:val="0"/>
              <w:snapToGrid w:val="0"/>
              <w:spacing w:line="240" w:lineRule="auto"/>
              <w:ind w:firstLine="0" w:firstLineChars="0"/>
              <w:jc w:val="center"/>
              <w:rPr>
                <w:rFonts w:ascii="黑体" w:hAnsi="黑体" w:eastAsia="黑体" w:cs="Times New Roman"/>
                <w:kern w:val="0"/>
                <w:sz w:val="21"/>
                <w:szCs w:val="21"/>
              </w:rPr>
            </w:pPr>
            <w:r>
              <w:rPr>
                <w:rFonts w:ascii="黑体" w:hAnsi="黑体" w:eastAsia="黑体" w:cs="Times New Roman"/>
                <w:kern w:val="0"/>
                <w:sz w:val="21"/>
                <w:szCs w:val="21"/>
              </w:rPr>
              <w:t>2019</w:t>
            </w:r>
          </w:p>
        </w:tc>
        <w:tc>
          <w:tcPr>
            <w:tcW w:w="740" w:type="dxa"/>
            <w:vAlign w:val="center"/>
          </w:tcPr>
          <w:p>
            <w:pPr>
              <w:adjustRightInd w:val="0"/>
              <w:snapToGrid w:val="0"/>
              <w:spacing w:line="240" w:lineRule="auto"/>
              <w:ind w:firstLine="0" w:firstLineChars="0"/>
              <w:jc w:val="center"/>
              <w:rPr>
                <w:rFonts w:ascii="黑体" w:hAnsi="黑体" w:eastAsia="黑体" w:cs="Times New Roman"/>
                <w:kern w:val="0"/>
                <w:sz w:val="21"/>
                <w:szCs w:val="21"/>
              </w:rPr>
            </w:pPr>
            <w:r>
              <w:rPr>
                <w:rFonts w:ascii="黑体" w:hAnsi="黑体" w:eastAsia="黑体" w:cs="Times New Roman"/>
                <w:kern w:val="0"/>
                <w:sz w:val="21"/>
                <w:szCs w:val="21"/>
              </w:rPr>
              <w:t>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700" w:type="dxa"/>
            <w:vAlign w:val="center"/>
          </w:tcPr>
          <w:p>
            <w:pPr>
              <w:adjustRightInd w:val="0"/>
              <w:snapToGrid w:val="0"/>
              <w:spacing w:line="240" w:lineRule="auto"/>
              <w:ind w:firstLine="0" w:firstLineChars="0"/>
              <w:jc w:val="center"/>
              <w:rPr>
                <w:rFonts w:cs="Times New Roman"/>
                <w:kern w:val="0"/>
                <w:sz w:val="21"/>
                <w:szCs w:val="21"/>
              </w:rPr>
            </w:pPr>
            <w:bookmarkStart w:id="10" w:name="_Hlk122880614"/>
            <w:r>
              <w:rPr>
                <w:rFonts w:cs="Times New Roman"/>
                <w:kern w:val="0"/>
                <w:sz w:val="21"/>
                <w:szCs w:val="21"/>
              </w:rPr>
              <w:t>1</w:t>
            </w:r>
          </w:p>
        </w:tc>
        <w:tc>
          <w:tcPr>
            <w:tcW w:w="1359" w:type="dxa"/>
            <w:vAlign w:val="center"/>
          </w:tcPr>
          <w:p>
            <w:pPr>
              <w:adjustRightInd w:val="0"/>
              <w:snapToGrid w:val="0"/>
              <w:spacing w:line="240" w:lineRule="auto"/>
              <w:ind w:firstLine="0" w:firstLineChars="0"/>
              <w:jc w:val="center"/>
              <w:rPr>
                <w:rFonts w:cs="Times New Roman"/>
                <w:kern w:val="0"/>
                <w:sz w:val="21"/>
                <w:szCs w:val="21"/>
              </w:rPr>
            </w:pPr>
            <w:bookmarkStart w:id="11" w:name="_Hlk122880722"/>
            <w:r>
              <w:rPr>
                <w:rFonts w:hint="eastAsia" w:cs="Times New Roman"/>
                <w:kern w:val="0"/>
                <w:sz w:val="21"/>
                <w:szCs w:val="21"/>
              </w:rPr>
              <w:t>明湖北路桥</w:t>
            </w:r>
            <w:bookmarkEnd w:id="11"/>
          </w:p>
        </w:tc>
        <w:tc>
          <w:tcPr>
            <w:tcW w:w="1168" w:type="dxa"/>
            <w:vAlign w:val="center"/>
          </w:tcPr>
          <w:p>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东泺河</w:t>
            </w:r>
          </w:p>
        </w:tc>
        <w:tc>
          <w:tcPr>
            <w:tcW w:w="834" w:type="dxa"/>
            <w:vAlign w:val="center"/>
          </w:tcPr>
          <w:p>
            <w:pPr>
              <w:adjustRightInd w:val="0"/>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市控</w:t>
            </w:r>
          </w:p>
        </w:tc>
        <w:tc>
          <w:tcPr>
            <w:tcW w:w="761" w:type="dxa"/>
            <w:vAlign w:val="center"/>
          </w:tcPr>
          <w:p>
            <w:pPr>
              <w:adjustRightInd w:val="0"/>
              <w:snapToGrid w:val="0"/>
              <w:spacing w:line="240" w:lineRule="auto"/>
              <w:ind w:firstLine="0" w:firstLineChars="0"/>
              <w:jc w:val="center"/>
              <w:rPr>
                <w:rFonts w:cs="Times New Roman"/>
                <w:kern w:val="0"/>
                <w:sz w:val="21"/>
                <w:szCs w:val="21"/>
              </w:rPr>
            </w:pPr>
            <w:r>
              <w:rPr>
                <w:rFonts w:hint="eastAsia" w:cs="Times New Roman"/>
                <w:color w:val="000000"/>
                <w:kern w:val="0"/>
                <w:sz w:val="21"/>
                <w:szCs w:val="21"/>
              </w:rPr>
              <w:t>Ⅴ</w:t>
            </w:r>
          </w:p>
        </w:tc>
        <w:tc>
          <w:tcPr>
            <w:tcW w:w="740" w:type="dxa"/>
            <w:vAlign w:val="center"/>
          </w:tcPr>
          <w:p>
            <w:pPr>
              <w:adjustRightInd w:val="0"/>
              <w:snapToGrid w:val="0"/>
              <w:spacing w:line="240" w:lineRule="auto"/>
              <w:ind w:firstLine="0" w:firstLineChars="0"/>
              <w:jc w:val="center"/>
              <w:rPr>
                <w:rFonts w:cs="Times New Roman"/>
                <w:kern w:val="0"/>
                <w:sz w:val="21"/>
                <w:szCs w:val="21"/>
              </w:rPr>
            </w:pPr>
            <w:r>
              <w:rPr>
                <w:rFonts w:hint="eastAsia" w:cs="Times New Roman"/>
                <w:color w:val="000000"/>
                <w:kern w:val="0"/>
                <w:sz w:val="21"/>
                <w:szCs w:val="21"/>
              </w:rPr>
              <w:t>Ⅴ</w:t>
            </w:r>
          </w:p>
        </w:tc>
        <w:tc>
          <w:tcPr>
            <w:tcW w:w="740" w:type="dxa"/>
            <w:vAlign w:val="center"/>
          </w:tcPr>
          <w:p>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Ⅲ</w:t>
            </w:r>
          </w:p>
        </w:tc>
        <w:tc>
          <w:tcPr>
            <w:tcW w:w="740" w:type="dxa"/>
            <w:vAlign w:val="center"/>
          </w:tcPr>
          <w:p>
            <w:pPr>
              <w:adjustRightInd w:val="0"/>
              <w:snapToGrid w:val="0"/>
              <w:spacing w:line="240" w:lineRule="auto"/>
              <w:ind w:firstLine="0" w:firstLineChars="0"/>
              <w:jc w:val="center"/>
              <w:rPr>
                <w:rFonts w:cs="Times New Roman"/>
                <w:kern w:val="0"/>
                <w:sz w:val="21"/>
                <w:szCs w:val="21"/>
              </w:rPr>
            </w:pPr>
            <w:r>
              <w:rPr>
                <w:rFonts w:hint="eastAsia" w:ascii="宋体" w:hAnsi="宋体" w:eastAsia="宋体" w:cs="Times New Roman"/>
                <w:kern w:val="0"/>
                <w:sz w:val="21"/>
                <w:szCs w:val="21"/>
              </w:rPr>
              <w:t>Ⅳ</w:t>
            </w:r>
          </w:p>
        </w:tc>
        <w:tc>
          <w:tcPr>
            <w:tcW w:w="740" w:type="dxa"/>
            <w:vAlign w:val="center"/>
          </w:tcPr>
          <w:p>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Ⅲ</w:t>
            </w:r>
          </w:p>
        </w:tc>
        <w:tc>
          <w:tcPr>
            <w:tcW w:w="740" w:type="dxa"/>
            <w:vAlign w:val="center"/>
          </w:tcPr>
          <w:p>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Ⅱ</w:t>
            </w:r>
          </w:p>
        </w:tc>
      </w:tr>
      <w:bookmarkEnd w:id="1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700" w:type="dxa"/>
            <w:vAlign w:val="center"/>
          </w:tcPr>
          <w:p>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2</w:t>
            </w:r>
          </w:p>
        </w:tc>
        <w:tc>
          <w:tcPr>
            <w:tcW w:w="1359" w:type="dxa"/>
            <w:vAlign w:val="center"/>
          </w:tcPr>
          <w:p>
            <w:pPr>
              <w:adjustRightInd w:val="0"/>
              <w:snapToGrid w:val="0"/>
              <w:spacing w:line="240" w:lineRule="auto"/>
              <w:ind w:firstLine="0" w:firstLineChars="0"/>
              <w:jc w:val="center"/>
              <w:rPr>
                <w:rFonts w:cs="Times New Roman"/>
                <w:color w:val="000000"/>
                <w:kern w:val="0"/>
                <w:sz w:val="21"/>
                <w:szCs w:val="21"/>
              </w:rPr>
            </w:pPr>
            <w:r>
              <w:rPr>
                <w:rFonts w:hint="eastAsia" w:cs="Times New Roman"/>
                <w:kern w:val="0"/>
                <w:sz w:val="21"/>
                <w:szCs w:val="21"/>
              </w:rPr>
              <w:t>黄台南路桥</w:t>
            </w:r>
          </w:p>
        </w:tc>
        <w:tc>
          <w:tcPr>
            <w:tcW w:w="1168" w:type="dxa"/>
            <w:vAlign w:val="center"/>
          </w:tcPr>
          <w:p>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柳行河</w:t>
            </w:r>
          </w:p>
        </w:tc>
        <w:tc>
          <w:tcPr>
            <w:tcW w:w="834" w:type="dxa"/>
            <w:vAlign w:val="center"/>
          </w:tcPr>
          <w:p>
            <w:pPr>
              <w:spacing w:line="240" w:lineRule="auto"/>
              <w:ind w:firstLine="0" w:firstLineChars="0"/>
              <w:jc w:val="center"/>
              <w:rPr>
                <w:kern w:val="0"/>
                <w:sz w:val="21"/>
                <w:szCs w:val="21"/>
              </w:rPr>
            </w:pPr>
            <w:r>
              <w:rPr>
                <w:rFonts w:hint="eastAsia" w:cs="Times New Roman"/>
                <w:color w:val="000000"/>
                <w:kern w:val="0"/>
                <w:sz w:val="21"/>
                <w:szCs w:val="21"/>
              </w:rPr>
              <w:t>市控</w:t>
            </w:r>
          </w:p>
        </w:tc>
        <w:tc>
          <w:tcPr>
            <w:tcW w:w="761" w:type="dxa"/>
            <w:vAlign w:val="center"/>
          </w:tcPr>
          <w:p>
            <w:pPr>
              <w:adjustRightInd w:val="0"/>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Ⅴ</w:t>
            </w:r>
          </w:p>
        </w:tc>
        <w:tc>
          <w:tcPr>
            <w:tcW w:w="740" w:type="dxa"/>
            <w:vAlign w:val="center"/>
          </w:tcPr>
          <w:p>
            <w:pPr>
              <w:adjustRightInd w:val="0"/>
              <w:snapToGrid w:val="0"/>
              <w:spacing w:line="240" w:lineRule="auto"/>
              <w:ind w:firstLine="0" w:firstLineChars="0"/>
              <w:jc w:val="center"/>
              <w:rPr>
                <w:rFonts w:cs="Times New Roman"/>
                <w:kern w:val="0"/>
                <w:sz w:val="21"/>
                <w:szCs w:val="21"/>
              </w:rPr>
            </w:pPr>
            <w:r>
              <w:rPr>
                <w:rFonts w:hint="eastAsia" w:cs="Times New Roman"/>
                <w:color w:val="000000"/>
                <w:kern w:val="0"/>
                <w:sz w:val="21"/>
                <w:szCs w:val="21"/>
              </w:rPr>
              <w:t>劣Ⅴ</w:t>
            </w:r>
          </w:p>
        </w:tc>
        <w:tc>
          <w:tcPr>
            <w:tcW w:w="740" w:type="dxa"/>
            <w:vAlign w:val="center"/>
          </w:tcPr>
          <w:p>
            <w:pPr>
              <w:spacing w:line="240" w:lineRule="auto"/>
              <w:ind w:firstLine="0" w:firstLineChars="0"/>
              <w:jc w:val="center"/>
              <w:rPr>
                <w:kern w:val="0"/>
                <w:sz w:val="21"/>
                <w:szCs w:val="21"/>
              </w:rPr>
            </w:pPr>
            <w:r>
              <w:rPr>
                <w:rFonts w:hint="eastAsia" w:cs="Times New Roman"/>
                <w:color w:val="000000"/>
                <w:kern w:val="0"/>
                <w:sz w:val="21"/>
                <w:szCs w:val="21"/>
              </w:rPr>
              <w:t>劣Ⅴ</w:t>
            </w:r>
          </w:p>
        </w:tc>
        <w:tc>
          <w:tcPr>
            <w:tcW w:w="740" w:type="dxa"/>
            <w:vAlign w:val="center"/>
          </w:tcPr>
          <w:p>
            <w:pPr>
              <w:spacing w:line="240" w:lineRule="auto"/>
              <w:ind w:firstLine="0" w:firstLineChars="0"/>
              <w:jc w:val="center"/>
              <w:rPr>
                <w:kern w:val="0"/>
                <w:sz w:val="21"/>
                <w:szCs w:val="21"/>
              </w:rPr>
            </w:pPr>
            <w:r>
              <w:rPr>
                <w:rFonts w:hint="eastAsia" w:cs="Times New Roman"/>
                <w:color w:val="000000"/>
                <w:kern w:val="0"/>
                <w:sz w:val="21"/>
                <w:szCs w:val="21"/>
              </w:rPr>
              <w:t>劣Ⅴ</w:t>
            </w:r>
          </w:p>
        </w:tc>
        <w:tc>
          <w:tcPr>
            <w:tcW w:w="740" w:type="dxa"/>
            <w:vAlign w:val="center"/>
          </w:tcPr>
          <w:p>
            <w:pPr>
              <w:spacing w:line="240" w:lineRule="auto"/>
              <w:ind w:firstLine="0" w:firstLineChars="0"/>
              <w:jc w:val="center"/>
              <w:rPr>
                <w:kern w:val="0"/>
                <w:sz w:val="21"/>
                <w:szCs w:val="21"/>
              </w:rPr>
            </w:pPr>
            <w:r>
              <w:rPr>
                <w:rFonts w:hint="eastAsia" w:cs="Times New Roman"/>
                <w:color w:val="000000"/>
                <w:kern w:val="0"/>
                <w:sz w:val="21"/>
                <w:szCs w:val="21"/>
              </w:rPr>
              <w:t>断流</w:t>
            </w:r>
          </w:p>
        </w:tc>
        <w:tc>
          <w:tcPr>
            <w:tcW w:w="740" w:type="dxa"/>
            <w:vAlign w:val="center"/>
          </w:tcPr>
          <w:p>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断流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00" w:type="dxa"/>
            <w:vAlign w:val="center"/>
          </w:tcPr>
          <w:p>
            <w:pPr>
              <w:adjustRightInd w:val="0"/>
              <w:snapToGrid w:val="0"/>
              <w:spacing w:line="240" w:lineRule="auto"/>
              <w:ind w:firstLine="0" w:firstLineChars="0"/>
              <w:jc w:val="center"/>
              <w:rPr>
                <w:rFonts w:cs="Times New Roman"/>
                <w:kern w:val="0"/>
                <w:sz w:val="21"/>
                <w:szCs w:val="21"/>
              </w:rPr>
            </w:pPr>
            <w:r>
              <w:rPr>
                <w:rFonts w:cs="Times New Roman"/>
                <w:kern w:val="0"/>
                <w:sz w:val="21"/>
                <w:szCs w:val="21"/>
              </w:rPr>
              <w:t>3</w:t>
            </w:r>
          </w:p>
        </w:tc>
        <w:tc>
          <w:tcPr>
            <w:tcW w:w="1359" w:type="dxa"/>
            <w:vAlign w:val="center"/>
          </w:tcPr>
          <w:p>
            <w:pPr>
              <w:adjustRightInd w:val="0"/>
              <w:snapToGrid w:val="0"/>
              <w:spacing w:line="240" w:lineRule="auto"/>
              <w:ind w:firstLine="0" w:firstLineChars="0"/>
              <w:jc w:val="center"/>
              <w:rPr>
                <w:rFonts w:cs="Times New Roman"/>
                <w:color w:val="000000"/>
                <w:kern w:val="0"/>
                <w:sz w:val="21"/>
                <w:szCs w:val="21"/>
              </w:rPr>
            </w:pPr>
            <w:bookmarkStart w:id="12" w:name="_Hlk122880539"/>
            <w:r>
              <w:rPr>
                <w:rFonts w:hint="eastAsia" w:cs="Times New Roman"/>
                <w:color w:val="000000"/>
                <w:kern w:val="0"/>
                <w:sz w:val="21"/>
                <w:szCs w:val="21"/>
              </w:rPr>
              <w:t>山大趵突泉校区北门西侧</w:t>
            </w:r>
            <w:bookmarkEnd w:id="12"/>
            <w:r>
              <w:rPr>
                <w:rFonts w:hint="eastAsia" w:cs="Times New Roman"/>
                <w:color w:val="000000"/>
                <w:kern w:val="0"/>
                <w:sz w:val="21"/>
                <w:szCs w:val="21"/>
              </w:rPr>
              <w:t>/省中医</w:t>
            </w:r>
          </w:p>
        </w:tc>
        <w:tc>
          <w:tcPr>
            <w:tcW w:w="1168" w:type="dxa"/>
            <w:vAlign w:val="center"/>
          </w:tcPr>
          <w:p>
            <w:pPr>
              <w:adjustRightInd w:val="0"/>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西泺河</w:t>
            </w:r>
          </w:p>
        </w:tc>
        <w:tc>
          <w:tcPr>
            <w:tcW w:w="834" w:type="dxa"/>
            <w:vAlign w:val="center"/>
          </w:tcPr>
          <w:p>
            <w:pPr>
              <w:spacing w:line="240" w:lineRule="auto"/>
              <w:ind w:firstLine="0" w:firstLineChars="0"/>
              <w:jc w:val="center"/>
              <w:rPr>
                <w:kern w:val="0"/>
                <w:sz w:val="21"/>
                <w:szCs w:val="21"/>
              </w:rPr>
            </w:pPr>
            <w:r>
              <w:rPr>
                <w:rFonts w:hint="eastAsia" w:cs="Times New Roman"/>
                <w:color w:val="000000"/>
                <w:kern w:val="0"/>
                <w:sz w:val="21"/>
                <w:szCs w:val="21"/>
              </w:rPr>
              <w:t>市控</w:t>
            </w:r>
          </w:p>
        </w:tc>
        <w:tc>
          <w:tcPr>
            <w:tcW w:w="761" w:type="dxa"/>
            <w:vAlign w:val="center"/>
          </w:tcPr>
          <w:p>
            <w:pPr>
              <w:adjustRightInd w:val="0"/>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Ⅴ</w:t>
            </w:r>
          </w:p>
        </w:tc>
        <w:tc>
          <w:tcPr>
            <w:tcW w:w="740" w:type="dxa"/>
            <w:vAlign w:val="center"/>
          </w:tcPr>
          <w:p>
            <w:pPr>
              <w:adjustRightInd w:val="0"/>
              <w:snapToGrid w:val="0"/>
              <w:spacing w:line="240" w:lineRule="auto"/>
              <w:ind w:firstLine="0" w:firstLineChars="0"/>
              <w:jc w:val="center"/>
              <w:rPr>
                <w:rFonts w:cs="Times New Roman"/>
                <w:kern w:val="0"/>
                <w:sz w:val="21"/>
                <w:szCs w:val="21"/>
              </w:rPr>
            </w:pPr>
            <w:r>
              <w:rPr>
                <w:rFonts w:hint="eastAsia" w:cs="Times New Roman"/>
                <w:color w:val="000000"/>
                <w:kern w:val="0"/>
                <w:sz w:val="21"/>
                <w:szCs w:val="21"/>
              </w:rPr>
              <w:t>Ⅴ</w:t>
            </w:r>
          </w:p>
        </w:tc>
        <w:tc>
          <w:tcPr>
            <w:tcW w:w="740" w:type="dxa"/>
            <w:vAlign w:val="center"/>
          </w:tcPr>
          <w:p>
            <w:pPr>
              <w:adjustRightInd w:val="0"/>
              <w:snapToGrid w:val="0"/>
              <w:spacing w:line="240" w:lineRule="auto"/>
              <w:ind w:firstLine="0" w:firstLineChars="0"/>
              <w:jc w:val="center"/>
              <w:rPr>
                <w:rFonts w:cs="Times New Roman"/>
                <w:kern w:val="0"/>
                <w:sz w:val="21"/>
                <w:szCs w:val="21"/>
              </w:rPr>
            </w:pPr>
            <w:r>
              <w:rPr>
                <w:rFonts w:hint="eastAsia" w:cs="Times New Roman"/>
                <w:color w:val="000000"/>
                <w:kern w:val="0"/>
                <w:sz w:val="21"/>
                <w:szCs w:val="21"/>
              </w:rPr>
              <w:t>劣Ⅴ</w:t>
            </w:r>
          </w:p>
        </w:tc>
        <w:tc>
          <w:tcPr>
            <w:tcW w:w="740" w:type="dxa"/>
            <w:vAlign w:val="center"/>
          </w:tcPr>
          <w:p>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Ⅲ</w:t>
            </w:r>
          </w:p>
        </w:tc>
        <w:tc>
          <w:tcPr>
            <w:tcW w:w="740" w:type="dxa"/>
            <w:vAlign w:val="center"/>
          </w:tcPr>
          <w:p>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Ⅱ</w:t>
            </w:r>
          </w:p>
        </w:tc>
        <w:tc>
          <w:tcPr>
            <w:tcW w:w="740" w:type="dxa"/>
            <w:vAlign w:val="center"/>
          </w:tcPr>
          <w:p>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vAlign w:val="center"/>
          </w:tcPr>
          <w:p>
            <w:pPr>
              <w:adjustRightInd w:val="0"/>
              <w:snapToGrid w:val="0"/>
              <w:spacing w:line="240" w:lineRule="auto"/>
              <w:ind w:firstLine="0" w:firstLineChars="0"/>
              <w:jc w:val="center"/>
              <w:rPr>
                <w:rFonts w:cs="Times New Roman"/>
                <w:kern w:val="0"/>
                <w:sz w:val="21"/>
                <w:szCs w:val="21"/>
              </w:rPr>
            </w:pPr>
            <w:r>
              <w:rPr>
                <w:rFonts w:cs="Times New Roman"/>
                <w:kern w:val="0"/>
                <w:sz w:val="21"/>
                <w:szCs w:val="21"/>
              </w:rPr>
              <w:t>4</w:t>
            </w:r>
          </w:p>
        </w:tc>
        <w:tc>
          <w:tcPr>
            <w:tcW w:w="1359" w:type="dxa"/>
            <w:vAlign w:val="center"/>
          </w:tcPr>
          <w:p>
            <w:pPr>
              <w:adjustRightInd w:val="0"/>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龙驰路</w:t>
            </w:r>
          </w:p>
        </w:tc>
        <w:tc>
          <w:tcPr>
            <w:tcW w:w="1168" w:type="dxa"/>
            <w:vAlign w:val="center"/>
          </w:tcPr>
          <w:p>
            <w:pPr>
              <w:adjustRightInd w:val="0"/>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大辛河</w:t>
            </w:r>
          </w:p>
        </w:tc>
        <w:tc>
          <w:tcPr>
            <w:tcW w:w="834" w:type="dxa"/>
            <w:vAlign w:val="center"/>
          </w:tcPr>
          <w:p>
            <w:pPr>
              <w:spacing w:line="240" w:lineRule="auto"/>
              <w:ind w:firstLine="0" w:firstLineChars="0"/>
              <w:jc w:val="center"/>
              <w:rPr>
                <w:kern w:val="0"/>
                <w:sz w:val="21"/>
                <w:szCs w:val="21"/>
              </w:rPr>
            </w:pPr>
            <w:r>
              <w:rPr>
                <w:rFonts w:hint="eastAsia" w:cs="Times New Roman"/>
                <w:color w:val="000000"/>
                <w:kern w:val="0"/>
                <w:sz w:val="21"/>
                <w:szCs w:val="21"/>
              </w:rPr>
              <w:t>市控</w:t>
            </w:r>
          </w:p>
        </w:tc>
        <w:tc>
          <w:tcPr>
            <w:tcW w:w="761" w:type="dxa"/>
            <w:vAlign w:val="center"/>
          </w:tcPr>
          <w:p>
            <w:pPr>
              <w:adjustRightInd w:val="0"/>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Ⅴ</w:t>
            </w:r>
          </w:p>
        </w:tc>
        <w:tc>
          <w:tcPr>
            <w:tcW w:w="740" w:type="dxa"/>
          </w:tcPr>
          <w:p>
            <w:pPr>
              <w:spacing w:line="240" w:lineRule="auto"/>
              <w:ind w:firstLine="0" w:firstLineChars="0"/>
              <w:rPr>
                <w:kern w:val="0"/>
                <w:sz w:val="21"/>
                <w:szCs w:val="21"/>
              </w:rPr>
            </w:pPr>
            <w:r>
              <w:rPr>
                <w:rFonts w:hint="eastAsia" w:cs="Times New Roman"/>
                <w:kern w:val="0"/>
                <w:sz w:val="21"/>
                <w:szCs w:val="21"/>
              </w:rPr>
              <w:t>——</w:t>
            </w:r>
          </w:p>
        </w:tc>
        <w:tc>
          <w:tcPr>
            <w:tcW w:w="740" w:type="dxa"/>
          </w:tcPr>
          <w:p>
            <w:pPr>
              <w:spacing w:line="240" w:lineRule="auto"/>
              <w:ind w:firstLine="0" w:firstLineChars="0"/>
              <w:rPr>
                <w:kern w:val="0"/>
                <w:sz w:val="21"/>
                <w:szCs w:val="21"/>
              </w:rPr>
            </w:pPr>
            <w:r>
              <w:rPr>
                <w:rFonts w:hint="eastAsia" w:cs="Times New Roman"/>
                <w:kern w:val="0"/>
                <w:sz w:val="21"/>
                <w:szCs w:val="21"/>
              </w:rPr>
              <w:t>——</w:t>
            </w:r>
          </w:p>
        </w:tc>
        <w:tc>
          <w:tcPr>
            <w:tcW w:w="740" w:type="dxa"/>
          </w:tcPr>
          <w:p>
            <w:pPr>
              <w:spacing w:line="240" w:lineRule="auto"/>
              <w:ind w:firstLine="0" w:firstLineChars="0"/>
              <w:rPr>
                <w:kern w:val="0"/>
                <w:sz w:val="21"/>
                <w:szCs w:val="21"/>
              </w:rPr>
            </w:pPr>
            <w:r>
              <w:rPr>
                <w:rFonts w:hint="eastAsia" w:cs="Times New Roman"/>
                <w:kern w:val="0"/>
                <w:sz w:val="21"/>
                <w:szCs w:val="21"/>
              </w:rPr>
              <w:t>——</w:t>
            </w:r>
          </w:p>
        </w:tc>
        <w:tc>
          <w:tcPr>
            <w:tcW w:w="740" w:type="dxa"/>
          </w:tcPr>
          <w:p>
            <w:pPr>
              <w:spacing w:line="240" w:lineRule="auto"/>
              <w:ind w:firstLine="0" w:firstLineChars="0"/>
              <w:rPr>
                <w:kern w:val="0"/>
                <w:sz w:val="21"/>
                <w:szCs w:val="21"/>
              </w:rPr>
            </w:pPr>
            <w:r>
              <w:rPr>
                <w:rFonts w:hint="eastAsia" w:cs="Times New Roman"/>
                <w:kern w:val="0"/>
                <w:sz w:val="21"/>
                <w:szCs w:val="21"/>
              </w:rPr>
              <w:t>——</w:t>
            </w:r>
          </w:p>
        </w:tc>
        <w:tc>
          <w:tcPr>
            <w:tcW w:w="740" w:type="dxa"/>
            <w:vAlign w:val="center"/>
          </w:tcPr>
          <w:p>
            <w:pPr>
              <w:adjustRightInd w:val="0"/>
              <w:snapToGrid w:val="0"/>
              <w:spacing w:line="240" w:lineRule="auto"/>
              <w:ind w:firstLine="0" w:firstLineChars="0"/>
              <w:jc w:val="center"/>
              <w:rPr>
                <w:rFonts w:cs="Times New Roman"/>
                <w:kern w:val="0"/>
                <w:sz w:val="21"/>
                <w:szCs w:val="21"/>
              </w:rPr>
            </w:pPr>
            <w:bookmarkStart w:id="13" w:name="_Hlk122880814"/>
            <w:r>
              <w:rPr>
                <w:rFonts w:hint="eastAsia" w:cs="Times New Roman"/>
                <w:kern w:val="0"/>
                <w:sz w:val="21"/>
                <w:szCs w:val="21"/>
              </w:rPr>
              <w:t>Ⅱ</w:t>
            </w:r>
            <w:bookmarkEnd w:id="1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vAlign w:val="center"/>
          </w:tcPr>
          <w:p>
            <w:pPr>
              <w:adjustRightInd w:val="0"/>
              <w:snapToGrid w:val="0"/>
              <w:spacing w:line="240" w:lineRule="auto"/>
              <w:ind w:firstLine="0" w:firstLineChars="0"/>
              <w:jc w:val="center"/>
              <w:rPr>
                <w:rFonts w:cs="Times New Roman"/>
                <w:kern w:val="0"/>
                <w:sz w:val="21"/>
                <w:szCs w:val="21"/>
              </w:rPr>
            </w:pPr>
            <w:r>
              <w:rPr>
                <w:rFonts w:cs="Times New Roman"/>
                <w:kern w:val="0"/>
                <w:sz w:val="21"/>
                <w:szCs w:val="21"/>
              </w:rPr>
              <w:t>5</w:t>
            </w:r>
          </w:p>
        </w:tc>
        <w:tc>
          <w:tcPr>
            <w:tcW w:w="1359" w:type="dxa"/>
            <w:vAlign w:val="center"/>
          </w:tcPr>
          <w:p>
            <w:pPr>
              <w:adjustRightInd w:val="0"/>
              <w:snapToGrid w:val="0"/>
              <w:spacing w:line="240" w:lineRule="auto"/>
              <w:ind w:firstLine="0" w:firstLineChars="0"/>
              <w:jc w:val="center"/>
              <w:rPr>
                <w:rFonts w:cs="Times New Roman"/>
                <w:kern w:val="0"/>
                <w:sz w:val="21"/>
                <w:szCs w:val="21"/>
              </w:rPr>
            </w:pPr>
            <w:r>
              <w:rPr>
                <w:rFonts w:hint="eastAsia" w:cs="Times New Roman"/>
                <w:color w:val="000000"/>
                <w:kern w:val="0"/>
                <w:sz w:val="21"/>
                <w:szCs w:val="21"/>
              </w:rPr>
              <w:t>湖中</w:t>
            </w:r>
          </w:p>
        </w:tc>
        <w:tc>
          <w:tcPr>
            <w:tcW w:w="1168" w:type="dxa"/>
            <w:vAlign w:val="center"/>
          </w:tcPr>
          <w:p>
            <w:pPr>
              <w:adjustRightInd w:val="0"/>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大明湖</w:t>
            </w:r>
          </w:p>
        </w:tc>
        <w:tc>
          <w:tcPr>
            <w:tcW w:w="834" w:type="dxa"/>
            <w:vAlign w:val="center"/>
          </w:tcPr>
          <w:p>
            <w:pPr>
              <w:spacing w:line="240" w:lineRule="auto"/>
              <w:ind w:firstLine="0" w:firstLineChars="0"/>
              <w:jc w:val="center"/>
              <w:rPr>
                <w:kern w:val="0"/>
                <w:sz w:val="21"/>
                <w:szCs w:val="21"/>
              </w:rPr>
            </w:pPr>
            <w:r>
              <w:rPr>
                <w:rFonts w:hint="eastAsia" w:cs="Times New Roman"/>
                <w:color w:val="000000"/>
                <w:kern w:val="0"/>
                <w:sz w:val="21"/>
                <w:szCs w:val="21"/>
              </w:rPr>
              <w:t>市控</w:t>
            </w:r>
          </w:p>
        </w:tc>
        <w:tc>
          <w:tcPr>
            <w:tcW w:w="761" w:type="dxa"/>
            <w:vAlign w:val="center"/>
          </w:tcPr>
          <w:p>
            <w:pPr>
              <w:adjustRightInd w:val="0"/>
              <w:snapToGrid w:val="0"/>
              <w:spacing w:line="240" w:lineRule="auto"/>
              <w:ind w:firstLine="0" w:firstLineChars="0"/>
              <w:jc w:val="center"/>
              <w:rPr>
                <w:rFonts w:cs="Times New Roman"/>
                <w:kern w:val="0"/>
                <w:sz w:val="21"/>
                <w:szCs w:val="21"/>
              </w:rPr>
            </w:pPr>
            <w:r>
              <w:rPr>
                <w:rFonts w:hint="eastAsia" w:cs="Times New Roman"/>
                <w:color w:val="000000"/>
                <w:kern w:val="0"/>
                <w:sz w:val="21"/>
                <w:szCs w:val="21"/>
              </w:rPr>
              <w:t>Ⅳ</w:t>
            </w:r>
          </w:p>
        </w:tc>
        <w:tc>
          <w:tcPr>
            <w:tcW w:w="740" w:type="dxa"/>
          </w:tcPr>
          <w:p>
            <w:pPr>
              <w:spacing w:line="240" w:lineRule="auto"/>
              <w:ind w:firstLine="0" w:firstLineChars="0"/>
              <w:rPr>
                <w:kern w:val="0"/>
                <w:sz w:val="21"/>
                <w:szCs w:val="21"/>
              </w:rPr>
            </w:pPr>
            <w:r>
              <w:rPr>
                <w:rFonts w:hint="eastAsia" w:cs="Times New Roman"/>
                <w:kern w:val="0"/>
                <w:sz w:val="21"/>
                <w:szCs w:val="21"/>
              </w:rPr>
              <w:t>——</w:t>
            </w:r>
          </w:p>
        </w:tc>
        <w:tc>
          <w:tcPr>
            <w:tcW w:w="740" w:type="dxa"/>
          </w:tcPr>
          <w:p>
            <w:pPr>
              <w:spacing w:line="240" w:lineRule="auto"/>
              <w:ind w:firstLine="0" w:firstLineChars="0"/>
              <w:rPr>
                <w:kern w:val="0"/>
                <w:sz w:val="21"/>
                <w:szCs w:val="21"/>
              </w:rPr>
            </w:pPr>
            <w:r>
              <w:rPr>
                <w:rFonts w:hint="eastAsia" w:cs="Times New Roman"/>
                <w:kern w:val="0"/>
                <w:sz w:val="21"/>
                <w:szCs w:val="21"/>
              </w:rPr>
              <w:t>——</w:t>
            </w:r>
          </w:p>
        </w:tc>
        <w:tc>
          <w:tcPr>
            <w:tcW w:w="740" w:type="dxa"/>
          </w:tcPr>
          <w:p>
            <w:pPr>
              <w:spacing w:line="240" w:lineRule="auto"/>
              <w:ind w:firstLine="0" w:firstLineChars="0"/>
              <w:rPr>
                <w:kern w:val="0"/>
                <w:sz w:val="21"/>
                <w:szCs w:val="21"/>
              </w:rPr>
            </w:pPr>
            <w:r>
              <w:rPr>
                <w:rFonts w:hint="eastAsia" w:cs="Times New Roman"/>
                <w:kern w:val="0"/>
                <w:sz w:val="21"/>
                <w:szCs w:val="21"/>
              </w:rPr>
              <w:t>——</w:t>
            </w:r>
          </w:p>
        </w:tc>
        <w:tc>
          <w:tcPr>
            <w:tcW w:w="740" w:type="dxa"/>
          </w:tcPr>
          <w:p>
            <w:pPr>
              <w:spacing w:line="240" w:lineRule="auto"/>
              <w:ind w:firstLine="0" w:firstLineChars="0"/>
              <w:rPr>
                <w:kern w:val="0"/>
                <w:sz w:val="21"/>
                <w:szCs w:val="21"/>
              </w:rPr>
            </w:pPr>
            <w:r>
              <w:rPr>
                <w:rFonts w:hint="eastAsia" w:cs="Times New Roman"/>
                <w:kern w:val="0"/>
                <w:sz w:val="21"/>
                <w:szCs w:val="21"/>
              </w:rPr>
              <w:t>——</w:t>
            </w:r>
          </w:p>
        </w:tc>
        <w:tc>
          <w:tcPr>
            <w:tcW w:w="740" w:type="dxa"/>
            <w:vAlign w:val="center"/>
          </w:tcPr>
          <w:p>
            <w:pPr>
              <w:adjustRightInd w:val="0"/>
              <w:snapToGrid w:val="0"/>
              <w:spacing w:line="240" w:lineRule="auto"/>
              <w:ind w:firstLine="0" w:firstLineChars="0"/>
              <w:jc w:val="center"/>
              <w:rPr>
                <w:rFonts w:cs="Times New Roman"/>
                <w:kern w:val="0"/>
                <w:sz w:val="21"/>
                <w:szCs w:val="21"/>
              </w:rPr>
            </w:pPr>
            <w:bookmarkStart w:id="14" w:name="_Hlk122880820"/>
            <w:r>
              <w:rPr>
                <w:rFonts w:hint="eastAsia" w:cs="Times New Roman"/>
                <w:kern w:val="0"/>
                <w:sz w:val="21"/>
                <w:szCs w:val="21"/>
              </w:rPr>
              <w:t>Ⅲ</w:t>
            </w:r>
            <w:bookmarkEnd w:id="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vAlign w:val="center"/>
          </w:tcPr>
          <w:p>
            <w:pPr>
              <w:adjustRightInd w:val="0"/>
              <w:snapToGrid w:val="0"/>
              <w:spacing w:line="240" w:lineRule="auto"/>
              <w:ind w:firstLine="0" w:firstLineChars="0"/>
              <w:jc w:val="center"/>
              <w:rPr>
                <w:rFonts w:cs="Times New Roman"/>
                <w:kern w:val="0"/>
                <w:sz w:val="21"/>
                <w:szCs w:val="21"/>
              </w:rPr>
            </w:pPr>
            <w:r>
              <w:rPr>
                <w:rFonts w:cs="Times New Roman"/>
                <w:kern w:val="0"/>
                <w:sz w:val="21"/>
                <w:szCs w:val="21"/>
              </w:rPr>
              <w:t>6</w:t>
            </w:r>
          </w:p>
        </w:tc>
        <w:tc>
          <w:tcPr>
            <w:tcW w:w="1359" w:type="dxa"/>
            <w:vAlign w:val="center"/>
          </w:tcPr>
          <w:p>
            <w:pPr>
              <w:adjustRightInd w:val="0"/>
              <w:snapToGrid w:val="0"/>
              <w:spacing w:line="240" w:lineRule="auto"/>
              <w:ind w:firstLine="0" w:firstLineChars="0"/>
              <w:jc w:val="center"/>
              <w:rPr>
                <w:rFonts w:cs="Times New Roman"/>
                <w:kern w:val="0"/>
                <w:sz w:val="21"/>
                <w:szCs w:val="21"/>
              </w:rPr>
            </w:pPr>
            <w:r>
              <w:rPr>
                <w:rFonts w:hint="eastAsia" w:cs="Times New Roman"/>
                <w:color w:val="000000"/>
                <w:kern w:val="0"/>
                <w:sz w:val="21"/>
                <w:szCs w:val="21"/>
              </w:rPr>
              <w:t>花园东路桥</w:t>
            </w:r>
          </w:p>
        </w:tc>
        <w:tc>
          <w:tcPr>
            <w:tcW w:w="1168" w:type="dxa"/>
            <w:vAlign w:val="center"/>
          </w:tcPr>
          <w:p>
            <w:pPr>
              <w:adjustRightInd w:val="0"/>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大辛河</w:t>
            </w:r>
          </w:p>
        </w:tc>
        <w:tc>
          <w:tcPr>
            <w:tcW w:w="834" w:type="dxa"/>
            <w:vAlign w:val="center"/>
          </w:tcPr>
          <w:p>
            <w:pPr>
              <w:spacing w:line="240" w:lineRule="auto"/>
              <w:ind w:firstLine="0" w:firstLineChars="0"/>
              <w:jc w:val="center"/>
              <w:rPr>
                <w:kern w:val="0"/>
                <w:sz w:val="21"/>
                <w:szCs w:val="21"/>
              </w:rPr>
            </w:pPr>
            <w:r>
              <w:rPr>
                <w:rFonts w:hint="eastAsia" w:cs="Times New Roman"/>
                <w:color w:val="000000"/>
                <w:kern w:val="0"/>
                <w:sz w:val="21"/>
                <w:szCs w:val="21"/>
              </w:rPr>
              <w:t>市控</w:t>
            </w:r>
          </w:p>
        </w:tc>
        <w:tc>
          <w:tcPr>
            <w:tcW w:w="761" w:type="dxa"/>
            <w:vAlign w:val="center"/>
          </w:tcPr>
          <w:p>
            <w:pPr>
              <w:adjustRightInd w:val="0"/>
              <w:snapToGrid w:val="0"/>
              <w:spacing w:line="240" w:lineRule="auto"/>
              <w:ind w:firstLine="0" w:firstLineChars="0"/>
              <w:jc w:val="center"/>
              <w:rPr>
                <w:rFonts w:cs="Times New Roman"/>
                <w:kern w:val="0"/>
                <w:sz w:val="21"/>
                <w:szCs w:val="21"/>
              </w:rPr>
            </w:pPr>
            <w:r>
              <w:rPr>
                <w:rFonts w:hint="eastAsia" w:cs="Times New Roman"/>
                <w:color w:val="000000"/>
                <w:kern w:val="0"/>
                <w:sz w:val="21"/>
                <w:szCs w:val="21"/>
              </w:rPr>
              <w:t>Ⅴ</w:t>
            </w:r>
          </w:p>
        </w:tc>
        <w:tc>
          <w:tcPr>
            <w:tcW w:w="740" w:type="dxa"/>
            <w:vAlign w:val="center"/>
          </w:tcPr>
          <w:p>
            <w:pPr>
              <w:spacing w:line="240" w:lineRule="auto"/>
              <w:ind w:firstLine="0" w:firstLineChars="0"/>
              <w:jc w:val="center"/>
              <w:rPr>
                <w:kern w:val="0"/>
                <w:sz w:val="21"/>
                <w:szCs w:val="21"/>
              </w:rPr>
            </w:pPr>
            <w:r>
              <w:rPr>
                <w:rFonts w:hint="eastAsia" w:cs="Times New Roman"/>
                <w:color w:val="000000"/>
                <w:kern w:val="0"/>
                <w:sz w:val="21"/>
                <w:szCs w:val="21"/>
              </w:rPr>
              <w:t>劣Ⅴ</w:t>
            </w:r>
          </w:p>
        </w:tc>
        <w:tc>
          <w:tcPr>
            <w:tcW w:w="740" w:type="dxa"/>
            <w:vAlign w:val="center"/>
          </w:tcPr>
          <w:p>
            <w:pPr>
              <w:spacing w:line="240" w:lineRule="auto"/>
              <w:ind w:firstLine="0" w:firstLineChars="0"/>
              <w:jc w:val="center"/>
              <w:rPr>
                <w:kern w:val="0"/>
                <w:sz w:val="21"/>
                <w:szCs w:val="21"/>
              </w:rPr>
            </w:pPr>
            <w:r>
              <w:rPr>
                <w:rFonts w:hint="eastAsia" w:cs="Times New Roman"/>
                <w:color w:val="000000"/>
                <w:kern w:val="0"/>
                <w:sz w:val="21"/>
                <w:szCs w:val="21"/>
              </w:rPr>
              <w:t>劣Ⅴ</w:t>
            </w:r>
          </w:p>
        </w:tc>
        <w:tc>
          <w:tcPr>
            <w:tcW w:w="740" w:type="dxa"/>
            <w:vAlign w:val="center"/>
          </w:tcPr>
          <w:p>
            <w:pPr>
              <w:adjustRightInd w:val="0"/>
              <w:snapToGrid w:val="0"/>
              <w:spacing w:line="240" w:lineRule="auto"/>
              <w:ind w:firstLine="0" w:firstLineChars="0"/>
              <w:jc w:val="center"/>
              <w:rPr>
                <w:rFonts w:cs="Times New Roman"/>
                <w:kern w:val="0"/>
                <w:sz w:val="21"/>
                <w:szCs w:val="21"/>
              </w:rPr>
            </w:pPr>
            <w:r>
              <w:rPr>
                <w:rFonts w:hint="eastAsia" w:cs="Times New Roman"/>
                <w:color w:val="000000"/>
                <w:kern w:val="0"/>
                <w:sz w:val="21"/>
                <w:szCs w:val="21"/>
              </w:rPr>
              <w:t>Ⅴ</w:t>
            </w:r>
          </w:p>
        </w:tc>
        <w:tc>
          <w:tcPr>
            <w:tcW w:w="740" w:type="dxa"/>
            <w:vAlign w:val="center"/>
          </w:tcPr>
          <w:p>
            <w:pPr>
              <w:adjustRightInd w:val="0"/>
              <w:snapToGrid w:val="0"/>
              <w:spacing w:line="240" w:lineRule="auto"/>
              <w:ind w:firstLine="0" w:firstLineChars="0"/>
              <w:jc w:val="center"/>
              <w:rPr>
                <w:rFonts w:cs="Times New Roman"/>
                <w:kern w:val="0"/>
                <w:sz w:val="21"/>
                <w:szCs w:val="21"/>
              </w:rPr>
            </w:pPr>
            <w:r>
              <w:rPr>
                <w:rFonts w:hint="eastAsia" w:cs="Times New Roman"/>
                <w:color w:val="000000"/>
                <w:kern w:val="0"/>
                <w:sz w:val="21"/>
                <w:szCs w:val="21"/>
              </w:rPr>
              <w:t>Ⅴ</w:t>
            </w:r>
          </w:p>
        </w:tc>
        <w:tc>
          <w:tcPr>
            <w:tcW w:w="740" w:type="dxa"/>
            <w:vAlign w:val="center"/>
          </w:tcPr>
          <w:p>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00" w:type="dxa"/>
            <w:vAlign w:val="center"/>
          </w:tcPr>
          <w:p>
            <w:pPr>
              <w:adjustRightInd w:val="0"/>
              <w:snapToGrid w:val="0"/>
              <w:spacing w:line="240" w:lineRule="auto"/>
              <w:ind w:firstLine="0" w:firstLineChars="0"/>
              <w:jc w:val="center"/>
              <w:rPr>
                <w:rFonts w:cs="Times New Roman"/>
                <w:kern w:val="0"/>
                <w:sz w:val="21"/>
                <w:szCs w:val="21"/>
              </w:rPr>
            </w:pPr>
            <w:r>
              <w:rPr>
                <w:rFonts w:cs="Times New Roman"/>
                <w:kern w:val="0"/>
                <w:sz w:val="21"/>
                <w:szCs w:val="21"/>
              </w:rPr>
              <w:t>7</w:t>
            </w:r>
          </w:p>
        </w:tc>
        <w:tc>
          <w:tcPr>
            <w:tcW w:w="1359" w:type="dxa"/>
            <w:vAlign w:val="center"/>
          </w:tcPr>
          <w:p>
            <w:pPr>
              <w:adjustRightInd w:val="0"/>
              <w:snapToGrid w:val="0"/>
              <w:spacing w:line="240" w:lineRule="auto"/>
              <w:ind w:firstLine="0" w:firstLineChars="0"/>
              <w:jc w:val="center"/>
              <w:rPr>
                <w:rFonts w:cs="Times New Roman"/>
                <w:kern w:val="0"/>
                <w:sz w:val="21"/>
                <w:szCs w:val="21"/>
              </w:rPr>
            </w:pPr>
            <w:r>
              <w:rPr>
                <w:rFonts w:hint="eastAsia" w:cs="Times New Roman"/>
                <w:color w:val="000000"/>
                <w:kern w:val="0"/>
                <w:sz w:val="21"/>
                <w:szCs w:val="21"/>
              </w:rPr>
              <w:t>山大路</w:t>
            </w:r>
          </w:p>
        </w:tc>
        <w:tc>
          <w:tcPr>
            <w:tcW w:w="1168" w:type="dxa"/>
            <w:vAlign w:val="center"/>
          </w:tcPr>
          <w:p>
            <w:pPr>
              <w:adjustRightInd w:val="0"/>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黄台南路边沟</w:t>
            </w:r>
          </w:p>
        </w:tc>
        <w:tc>
          <w:tcPr>
            <w:tcW w:w="834" w:type="dxa"/>
            <w:vAlign w:val="center"/>
          </w:tcPr>
          <w:p>
            <w:pPr>
              <w:spacing w:line="240" w:lineRule="auto"/>
              <w:ind w:firstLine="0" w:firstLineChars="0"/>
              <w:jc w:val="center"/>
              <w:rPr>
                <w:kern w:val="0"/>
                <w:sz w:val="21"/>
                <w:szCs w:val="21"/>
              </w:rPr>
            </w:pPr>
            <w:r>
              <w:rPr>
                <w:rFonts w:hint="eastAsia" w:cs="Times New Roman"/>
                <w:color w:val="000000"/>
                <w:kern w:val="0"/>
                <w:sz w:val="21"/>
                <w:szCs w:val="21"/>
              </w:rPr>
              <w:t>市控</w:t>
            </w:r>
          </w:p>
        </w:tc>
        <w:tc>
          <w:tcPr>
            <w:tcW w:w="761" w:type="dxa"/>
            <w:vAlign w:val="center"/>
          </w:tcPr>
          <w:p>
            <w:pPr>
              <w:adjustRightInd w:val="0"/>
              <w:snapToGrid w:val="0"/>
              <w:spacing w:line="240" w:lineRule="auto"/>
              <w:ind w:firstLine="0" w:firstLineChars="0"/>
              <w:jc w:val="center"/>
              <w:rPr>
                <w:rFonts w:cs="Times New Roman"/>
                <w:kern w:val="0"/>
                <w:sz w:val="21"/>
                <w:szCs w:val="21"/>
              </w:rPr>
            </w:pPr>
            <w:r>
              <w:rPr>
                <w:rFonts w:hint="eastAsia" w:cs="Times New Roman"/>
                <w:color w:val="000000"/>
                <w:kern w:val="0"/>
                <w:sz w:val="21"/>
                <w:szCs w:val="21"/>
              </w:rPr>
              <w:t>Ⅴ</w:t>
            </w:r>
          </w:p>
        </w:tc>
        <w:tc>
          <w:tcPr>
            <w:tcW w:w="740" w:type="dxa"/>
            <w:vAlign w:val="center"/>
          </w:tcPr>
          <w:p>
            <w:pPr>
              <w:spacing w:line="240" w:lineRule="auto"/>
              <w:ind w:firstLine="0" w:firstLineChars="0"/>
              <w:jc w:val="center"/>
              <w:rPr>
                <w:kern w:val="0"/>
                <w:sz w:val="21"/>
                <w:szCs w:val="21"/>
              </w:rPr>
            </w:pPr>
            <w:r>
              <w:rPr>
                <w:rFonts w:hint="eastAsia" w:cs="Times New Roman"/>
                <w:color w:val="000000"/>
                <w:kern w:val="0"/>
                <w:sz w:val="21"/>
                <w:szCs w:val="21"/>
              </w:rPr>
              <w:t>劣Ⅴ</w:t>
            </w:r>
          </w:p>
        </w:tc>
        <w:tc>
          <w:tcPr>
            <w:tcW w:w="740" w:type="dxa"/>
            <w:vAlign w:val="center"/>
          </w:tcPr>
          <w:p>
            <w:pPr>
              <w:spacing w:line="240" w:lineRule="auto"/>
              <w:ind w:firstLine="0" w:firstLineChars="0"/>
              <w:jc w:val="center"/>
              <w:rPr>
                <w:kern w:val="0"/>
                <w:sz w:val="21"/>
                <w:szCs w:val="21"/>
              </w:rPr>
            </w:pPr>
            <w:r>
              <w:rPr>
                <w:rFonts w:hint="eastAsia" w:cs="Times New Roman"/>
                <w:color w:val="000000"/>
                <w:kern w:val="0"/>
                <w:sz w:val="21"/>
                <w:szCs w:val="21"/>
              </w:rPr>
              <w:t>劣Ⅴ</w:t>
            </w:r>
          </w:p>
        </w:tc>
        <w:tc>
          <w:tcPr>
            <w:tcW w:w="740" w:type="dxa"/>
            <w:vAlign w:val="center"/>
          </w:tcPr>
          <w:p>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w:t>
            </w:r>
          </w:p>
        </w:tc>
        <w:tc>
          <w:tcPr>
            <w:tcW w:w="740" w:type="dxa"/>
            <w:vAlign w:val="center"/>
          </w:tcPr>
          <w:p>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w:t>
            </w:r>
          </w:p>
        </w:tc>
        <w:tc>
          <w:tcPr>
            <w:tcW w:w="740" w:type="dxa"/>
            <w:vAlign w:val="center"/>
          </w:tcPr>
          <w:p>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700" w:type="dxa"/>
            <w:vAlign w:val="center"/>
          </w:tcPr>
          <w:p>
            <w:pPr>
              <w:adjustRightInd w:val="0"/>
              <w:snapToGrid w:val="0"/>
              <w:spacing w:line="240" w:lineRule="auto"/>
              <w:ind w:firstLine="0" w:firstLineChars="0"/>
              <w:jc w:val="center"/>
              <w:rPr>
                <w:rFonts w:cs="Times New Roman"/>
                <w:kern w:val="0"/>
                <w:sz w:val="21"/>
                <w:szCs w:val="21"/>
              </w:rPr>
            </w:pPr>
            <w:r>
              <w:rPr>
                <w:rFonts w:cs="Times New Roman"/>
                <w:kern w:val="0"/>
                <w:sz w:val="21"/>
                <w:szCs w:val="21"/>
              </w:rPr>
              <w:t>8</w:t>
            </w:r>
          </w:p>
        </w:tc>
        <w:tc>
          <w:tcPr>
            <w:tcW w:w="1359" w:type="dxa"/>
            <w:vAlign w:val="center"/>
          </w:tcPr>
          <w:p>
            <w:pPr>
              <w:adjustRightInd w:val="0"/>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历下大厦/工业南路桥</w:t>
            </w:r>
          </w:p>
        </w:tc>
        <w:tc>
          <w:tcPr>
            <w:tcW w:w="1168" w:type="dxa"/>
            <w:vAlign w:val="center"/>
          </w:tcPr>
          <w:p>
            <w:pPr>
              <w:adjustRightInd w:val="0"/>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全福河</w:t>
            </w:r>
          </w:p>
        </w:tc>
        <w:tc>
          <w:tcPr>
            <w:tcW w:w="834" w:type="dxa"/>
            <w:vAlign w:val="center"/>
          </w:tcPr>
          <w:p>
            <w:pPr>
              <w:spacing w:line="240" w:lineRule="auto"/>
              <w:ind w:firstLine="0" w:firstLineChars="0"/>
              <w:jc w:val="center"/>
              <w:rPr>
                <w:kern w:val="0"/>
                <w:sz w:val="21"/>
                <w:szCs w:val="21"/>
              </w:rPr>
            </w:pPr>
            <w:r>
              <w:rPr>
                <w:rFonts w:hint="eastAsia" w:cs="Times New Roman"/>
                <w:color w:val="000000"/>
                <w:kern w:val="0"/>
                <w:sz w:val="21"/>
                <w:szCs w:val="21"/>
              </w:rPr>
              <w:t>市控</w:t>
            </w:r>
          </w:p>
        </w:tc>
        <w:tc>
          <w:tcPr>
            <w:tcW w:w="761" w:type="dxa"/>
            <w:vAlign w:val="center"/>
          </w:tcPr>
          <w:p>
            <w:pPr>
              <w:adjustRightInd w:val="0"/>
              <w:snapToGrid w:val="0"/>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Ⅴ</w:t>
            </w:r>
          </w:p>
        </w:tc>
        <w:tc>
          <w:tcPr>
            <w:tcW w:w="740" w:type="dxa"/>
            <w:vAlign w:val="center"/>
          </w:tcPr>
          <w:p>
            <w:pPr>
              <w:adjustRightInd w:val="0"/>
              <w:snapToGrid w:val="0"/>
              <w:spacing w:line="240" w:lineRule="auto"/>
              <w:ind w:firstLine="0" w:firstLineChars="0"/>
              <w:jc w:val="center"/>
              <w:rPr>
                <w:rFonts w:cs="Times New Roman"/>
                <w:kern w:val="0"/>
                <w:sz w:val="21"/>
                <w:szCs w:val="21"/>
              </w:rPr>
            </w:pPr>
            <w:r>
              <w:rPr>
                <w:rFonts w:hint="eastAsia" w:cs="Times New Roman"/>
                <w:color w:val="000000"/>
                <w:kern w:val="0"/>
                <w:sz w:val="21"/>
                <w:szCs w:val="21"/>
              </w:rPr>
              <w:t>劣Ⅴ</w:t>
            </w:r>
          </w:p>
        </w:tc>
        <w:tc>
          <w:tcPr>
            <w:tcW w:w="740" w:type="dxa"/>
            <w:vAlign w:val="center"/>
          </w:tcPr>
          <w:p>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断流</w:t>
            </w:r>
          </w:p>
        </w:tc>
        <w:tc>
          <w:tcPr>
            <w:tcW w:w="740" w:type="dxa"/>
            <w:vAlign w:val="center"/>
          </w:tcPr>
          <w:p>
            <w:pPr>
              <w:adjustRightInd w:val="0"/>
              <w:snapToGrid w:val="0"/>
              <w:spacing w:line="240" w:lineRule="auto"/>
              <w:ind w:firstLine="0" w:firstLineChars="0"/>
              <w:jc w:val="center"/>
              <w:rPr>
                <w:rFonts w:cs="Times New Roman"/>
                <w:kern w:val="0"/>
                <w:sz w:val="21"/>
                <w:szCs w:val="21"/>
              </w:rPr>
            </w:pPr>
            <w:r>
              <w:rPr>
                <w:rFonts w:hint="eastAsia" w:cs="Times New Roman"/>
                <w:color w:val="000000"/>
                <w:kern w:val="0"/>
                <w:sz w:val="21"/>
                <w:szCs w:val="21"/>
              </w:rPr>
              <w:t>劣Ⅴ</w:t>
            </w:r>
          </w:p>
        </w:tc>
        <w:tc>
          <w:tcPr>
            <w:tcW w:w="740" w:type="dxa"/>
            <w:vAlign w:val="center"/>
          </w:tcPr>
          <w:p>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断流</w:t>
            </w:r>
          </w:p>
        </w:tc>
        <w:tc>
          <w:tcPr>
            <w:tcW w:w="740" w:type="dxa"/>
            <w:vAlign w:val="center"/>
          </w:tcPr>
          <w:p>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Ⅳ</w:t>
            </w:r>
          </w:p>
        </w:tc>
      </w:tr>
    </w:tbl>
    <w:p>
      <w:pPr>
        <w:adjustRightInd w:val="0"/>
        <w:snapToGrid w:val="0"/>
        <w:ind w:firstLine="420"/>
        <w:rPr>
          <w:rFonts w:cs="Times New Roman"/>
          <w:sz w:val="21"/>
          <w:szCs w:val="21"/>
        </w:rPr>
      </w:pPr>
      <w:bookmarkStart w:id="15" w:name="_Hlk80176457"/>
      <w:r>
        <w:rPr>
          <w:rFonts w:hint="eastAsia" w:cs="Times New Roman"/>
          <w:sz w:val="21"/>
          <w:szCs w:val="21"/>
        </w:rPr>
        <w:t>备注：——表示无数据</w:t>
      </w:r>
    </w:p>
    <w:bookmarkEnd w:id="15"/>
    <w:p>
      <w:pPr>
        <w:ind w:firstLine="640"/>
        <w:rPr>
          <w:rFonts w:ascii="仿宋_GB2312"/>
          <w:szCs w:val="32"/>
        </w:rPr>
      </w:pPr>
      <w:bookmarkStart w:id="16" w:name="_Hlk80176985"/>
      <w:r>
        <w:rPr>
          <w:rFonts w:hint="eastAsia" w:ascii="仿宋_GB2312"/>
          <w:szCs w:val="32"/>
        </w:rPr>
        <w:t>“十三五”期间，东泺河、西泺河、全福河水环境质量逐渐改善。</w:t>
      </w:r>
      <w:r>
        <w:rPr>
          <w:rFonts w:hint="eastAsia" w:ascii="仿宋_GB2312"/>
          <w:color w:val="000000" w:themeColor="text1"/>
          <w:szCs w:val="32"/>
          <w14:textFill>
            <w14:solidFill>
              <w14:schemeClr w14:val="tx1"/>
            </w14:solidFill>
          </w14:textFill>
        </w:rPr>
        <w:t>2016年仅有</w:t>
      </w:r>
      <w:r>
        <w:rPr>
          <w:rFonts w:hint="eastAsia" w:ascii="仿宋_GB2312"/>
          <w:szCs w:val="32"/>
        </w:rPr>
        <w:t>东泺河</w:t>
      </w:r>
      <w:r>
        <w:rPr>
          <w:rFonts w:hint="eastAsia" w:ascii="仿宋_GB2312"/>
          <w:color w:val="000000" w:themeColor="text1"/>
          <w:szCs w:val="32"/>
          <w14:textFill>
            <w14:solidFill>
              <w14:schemeClr w14:val="tx1"/>
            </w14:solidFill>
          </w14:textFill>
        </w:rPr>
        <w:t>明湖北路桥、</w:t>
      </w:r>
      <w:r>
        <w:rPr>
          <w:rFonts w:hint="eastAsia" w:ascii="仿宋_GB2312"/>
          <w:szCs w:val="32"/>
        </w:rPr>
        <w:t>全福河历下大厦断面</w:t>
      </w:r>
      <w:r>
        <w:rPr>
          <w:rFonts w:hint="eastAsia" w:ascii="仿宋_GB2312"/>
          <w:color w:val="000000" w:themeColor="text1"/>
          <w:szCs w:val="32"/>
          <w14:textFill>
            <w14:solidFill>
              <w14:schemeClr w14:val="tx1"/>
            </w14:solidFill>
          </w14:textFill>
        </w:rPr>
        <w:t>、西泺河山大趵突泉校区北门西侧断面达标，其它4个断面年均值严重超标；</w:t>
      </w:r>
      <w:r>
        <w:rPr>
          <w:rFonts w:hint="eastAsia" w:ascii="仿宋_GB2312"/>
          <w:szCs w:val="32"/>
        </w:rPr>
        <w:t>2019年以来，东泺河明湖北路桥、西泺河省中医断面，大辛河龙驰路、大明湖湖中、全福河工业南路桥断面年均值均达标。Ⅲ类断面占比升高，由2016年0%升高至2020年的80%。除此之外，全福河、柳行河河道断流问题较为突出。</w:t>
      </w:r>
    </w:p>
    <w:bookmarkEnd w:id="16"/>
    <w:p>
      <w:pPr>
        <w:ind w:firstLine="640"/>
        <w:rPr>
          <w:rFonts w:ascii="仿宋_GB2312"/>
          <w:szCs w:val="32"/>
        </w:rPr>
      </w:pPr>
      <w:bookmarkStart w:id="17" w:name="_Toc122898398"/>
      <w:bookmarkStart w:id="18" w:name="_Toc122898355"/>
      <w:bookmarkStart w:id="19" w:name="_Toc122990788"/>
      <w:r>
        <w:rPr>
          <w:rFonts w:hint="eastAsia" w:ascii="仿宋_GB2312"/>
          <w:szCs w:val="32"/>
        </w:rPr>
        <w:t>2. 饮用水水源地情况</w:t>
      </w:r>
      <w:bookmarkEnd w:id="17"/>
      <w:bookmarkEnd w:id="18"/>
      <w:bookmarkEnd w:id="19"/>
      <w:r>
        <w:rPr>
          <w:rFonts w:hint="eastAsia" w:ascii="仿宋_GB2312"/>
          <w:szCs w:val="32"/>
        </w:rPr>
        <w:t>。2020年，历下区共有5处城镇集中式饮用水水源地，分别为</w:t>
      </w:r>
      <w:bookmarkStart w:id="20" w:name="_Hlk122896232"/>
      <w:r>
        <w:rPr>
          <w:rFonts w:hint="eastAsia" w:ascii="仿宋_GB2312"/>
          <w:szCs w:val="32"/>
        </w:rPr>
        <w:t>东源水源地、泉城路水源地、羊头峪水源地、历南水源地与解放桥水源地</w:t>
      </w:r>
      <w:bookmarkEnd w:id="20"/>
      <w:r>
        <w:rPr>
          <w:rFonts w:hint="eastAsia" w:ascii="仿宋_GB2312"/>
          <w:szCs w:val="32"/>
        </w:rPr>
        <w:t>，均为地下水水源地，除东源水源地外，其它属于备用水源地。辖区内无农村集中式与分散式饮用水水源地。</w:t>
      </w:r>
    </w:p>
    <w:p>
      <w:pPr>
        <w:ind w:firstLine="640"/>
        <w:rPr>
          <w:rFonts w:ascii="仿宋_GB2312"/>
          <w:szCs w:val="32"/>
        </w:rPr>
      </w:pPr>
      <w:bookmarkStart w:id="21" w:name="_Toc122898356"/>
      <w:bookmarkStart w:id="22" w:name="_Toc122990789"/>
      <w:bookmarkStart w:id="23" w:name="_Toc122898399"/>
      <w:r>
        <w:rPr>
          <w:rFonts w:hint="eastAsia" w:ascii="仿宋_GB2312"/>
          <w:szCs w:val="32"/>
        </w:rPr>
        <w:t>3. 黑臭水体</w:t>
      </w:r>
      <w:bookmarkEnd w:id="21"/>
      <w:bookmarkEnd w:id="22"/>
      <w:bookmarkEnd w:id="23"/>
      <w:r>
        <w:rPr>
          <w:rFonts w:hint="eastAsia" w:ascii="仿宋_GB2312"/>
          <w:szCs w:val="32"/>
        </w:rPr>
        <w:t>。“十三五”期间，辖区内共发现7处城市黑臭水体，分别为东泺河（北圩子壕至菜市庄铁路桥）、老龙沟（山大路以西明沟段）、山大路边沟（转山西路至工业南路、工业南路至全福河）、全福河（经十路至工业南路）、丁家庄沟（工业南路至全福河）、中井洪沟（经十东路桥段）、大辛河（奥体西路至八涧堡桥）。截止至2020年，城市黑臭水体基本消除。</w:t>
      </w:r>
    </w:p>
    <w:p>
      <w:pPr>
        <w:ind w:firstLine="640"/>
        <w:rPr>
          <w:rFonts w:ascii="仿宋_GB2312"/>
          <w:szCs w:val="32"/>
        </w:rPr>
      </w:pPr>
      <w:r>
        <w:rPr>
          <w:rFonts w:hint="eastAsia" w:ascii="仿宋_GB2312"/>
          <w:szCs w:val="32"/>
        </w:rPr>
        <w:t>辖区内无农村黑臭水体。</w:t>
      </w:r>
    </w:p>
    <w:p>
      <w:pPr>
        <w:ind w:firstLine="640"/>
        <w:rPr>
          <w:rFonts w:ascii="仿宋_GB2312"/>
          <w:szCs w:val="32"/>
        </w:rPr>
      </w:pPr>
      <w:bookmarkStart w:id="24" w:name="_Toc122898357"/>
      <w:bookmarkStart w:id="25" w:name="_Toc122990790"/>
      <w:bookmarkStart w:id="26" w:name="_Toc122898400"/>
      <w:r>
        <w:rPr>
          <w:rFonts w:hint="eastAsia" w:ascii="仿宋_GB2312"/>
          <w:szCs w:val="32"/>
        </w:rPr>
        <w:t>4. 水生态状况</w:t>
      </w:r>
      <w:bookmarkEnd w:id="24"/>
      <w:bookmarkEnd w:id="25"/>
      <w:bookmarkEnd w:id="26"/>
      <w:r>
        <w:rPr>
          <w:rFonts w:hint="eastAsia" w:ascii="仿宋_GB2312"/>
          <w:szCs w:val="32"/>
        </w:rPr>
        <w:t>。</w:t>
      </w:r>
    </w:p>
    <w:p>
      <w:pPr>
        <w:ind w:firstLine="640"/>
        <w:rPr>
          <w:rFonts w:ascii="仿宋_GB2312"/>
          <w:szCs w:val="32"/>
        </w:rPr>
      </w:pPr>
      <w:r>
        <w:rPr>
          <w:rFonts w:hint="eastAsia" w:ascii="仿宋_GB2312"/>
          <w:szCs w:val="32"/>
        </w:rPr>
        <w:t>（1）湿地资源。根据济南市第二次湿地资源调查结果，历下区湿地资源总面积72.43公顷，全部属于零星湿地区，包括河流湿地和人工湿地，其中河流湿地面积8.6公顷；人工湿地面积63.83公顷。</w:t>
      </w:r>
    </w:p>
    <w:p>
      <w:pPr>
        <w:ind w:firstLine="640"/>
        <w:rPr>
          <w:rFonts w:ascii="仿宋_GB2312"/>
          <w:szCs w:val="32"/>
        </w:rPr>
      </w:pPr>
      <w:r>
        <w:rPr>
          <w:rFonts w:hint="eastAsia" w:ascii="仿宋_GB2312"/>
          <w:szCs w:val="32"/>
        </w:rPr>
        <w:t>（2）水生态调查结果。2019年，分别在历下区的大明湖西、大明湖中、大明湖东、菜市新村设置4处水生态监测点，发现各采样点位浮游植物物种平均值为13.5种，浮游动物、底栖动物物种均低于10种，鱼类物种平均值为21种，就济南市水生态浮游植物、浮游动物、底栖动物和鱼类健康评价指数进行评价，历下区水生态健康评价结果较差。</w:t>
      </w:r>
    </w:p>
    <w:p>
      <w:pPr>
        <w:ind w:firstLine="640"/>
        <w:rPr>
          <w:rFonts w:ascii="仿宋_GB2312"/>
          <w:szCs w:val="32"/>
        </w:rPr>
      </w:pPr>
      <w:bookmarkStart w:id="27" w:name="_Toc122898401"/>
      <w:bookmarkStart w:id="28" w:name="_Toc122898358"/>
      <w:bookmarkStart w:id="29" w:name="_Toc122990791"/>
      <w:r>
        <w:rPr>
          <w:rFonts w:hint="eastAsia" w:ascii="仿宋_GB2312"/>
          <w:szCs w:val="32"/>
        </w:rPr>
        <w:t>5. 水环境重点排污单位</w:t>
      </w:r>
      <w:bookmarkEnd w:id="27"/>
      <w:bookmarkEnd w:id="28"/>
      <w:bookmarkEnd w:id="29"/>
      <w:r>
        <w:rPr>
          <w:rFonts w:hint="eastAsia" w:ascii="仿宋_GB2312"/>
          <w:szCs w:val="32"/>
        </w:rPr>
        <w:t>。2020年，辖区内水环境重点排污单位仅1家，即中国石油化工股份有限公司济南分公司，其废水排口均安装水质在线监测装备，对其出水水质进行实时监测，年排水量为131万立方米。</w:t>
      </w:r>
    </w:p>
    <w:p>
      <w:pPr>
        <w:ind w:firstLine="640"/>
        <w:rPr>
          <w:rFonts w:ascii="楷体_GB2312" w:eastAsia="楷体_GB2312"/>
          <w:szCs w:val="32"/>
        </w:rPr>
      </w:pPr>
      <w:bookmarkStart w:id="30" w:name="_Toc122990792"/>
      <w:bookmarkStart w:id="31" w:name="_Toc122898359"/>
      <w:r>
        <w:rPr>
          <w:rFonts w:hint="eastAsia" w:ascii="楷体_GB2312" w:eastAsia="楷体_GB2312"/>
          <w:szCs w:val="32"/>
        </w:rPr>
        <w:t>（四）主要工作成效与经验</w:t>
      </w:r>
      <w:bookmarkEnd w:id="30"/>
      <w:bookmarkEnd w:id="31"/>
      <w:r>
        <w:rPr>
          <w:rFonts w:hint="eastAsia" w:ascii="楷体_GB2312" w:eastAsia="楷体_GB2312"/>
          <w:szCs w:val="32"/>
        </w:rPr>
        <w:t>。</w:t>
      </w:r>
    </w:p>
    <w:p>
      <w:pPr>
        <w:ind w:firstLine="640"/>
        <w:rPr>
          <w:rFonts w:ascii="仿宋_GB2312"/>
          <w:szCs w:val="32"/>
        </w:rPr>
      </w:pPr>
      <w:bookmarkStart w:id="32" w:name="_Toc122898403"/>
      <w:bookmarkStart w:id="33" w:name="_Toc122990793"/>
      <w:bookmarkStart w:id="34" w:name="_Toc122898360"/>
      <w:r>
        <w:rPr>
          <w:rFonts w:hint="eastAsia" w:ascii="仿宋_GB2312"/>
          <w:szCs w:val="32"/>
        </w:rPr>
        <w:t>1. 断面考核达标情况</w:t>
      </w:r>
      <w:bookmarkEnd w:id="32"/>
      <w:bookmarkEnd w:id="33"/>
      <w:bookmarkEnd w:id="34"/>
      <w:r>
        <w:rPr>
          <w:rFonts w:hint="eastAsia" w:ascii="仿宋_GB2312"/>
          <w:szCs w:val="32"/>
        </w:rPr>
        <w:t>。经过一系列水环境质量改善措施的施行，自2016年以来水环境改善效果明显，2020年除黄台南路桥外，其它断面水质年均值均达标，断面达标比例升至85.7%。</w:t>
      </w:r>
    </w:p>
    <w:p>
      <w:pPr>
        <w:ind w:firstLine="640"/>
        <w:rPr>
          <w:rFonts w:ascii="仿宋_GB2312"/>
          <w:szCs w:val="32"/>
        </w:rPr>
      </w:pPr>
      <w:bookmarkStart w:id="35" w:name="_Toc122898404"/>
      <w:bookmarkStart w:id="36" w:name="_Toc122990794"/>
      <w:bookmarkStart w:id="37" w:name="_Toc122898361"/>
      <w:r>
        <w:rPr>
          <w:rFonts w:hint="eastAsia" w:ascii="仿宋_GB2312"/>
          <w:szCs w:val="32"/>
        </w:rPr>
        <w:t>2. 黑臭水体整治情况</w:t>
      </w:r>
      <w:bookmarkEnd w:id="35"/>
      <w:bookmarkEnd w:id="36"/>
      <w:bookmarkEnd w:id="37"/>
      <w:r>
        <w:rPr>
          <w:rFonts w:hint="eastAsia" w:ascii="仿宋_GB2312"/>
          <w:szCs w:val="32"/>
        </w:rPr>
        <w:t>。通过自查以及群众举报，确定黑臭水体清单并公布后，济南市历下区政府紧抓黑臭水体污染整治工作，协调推进黑臭水体整治。积极协调区水务局加快黑臭水体整治和河道截污工作。最终消除济南市历下区内7条黑臭水体，整治面积达0.087平方公里，河道整治长度7.8公里，通过建设污水处理设施、完善管网、截污整治、雨污分流等措施，解决了河流沿线污水溢流问题。</w:t>
      </w:r>
    </w:p>
    <w:p>
      <w:pPr>
        <w:ind w:firstLine="640"/>
        <w:rPr>
          <w:rFonts w:ascii="仿宋_GB2312"/>
          <w:szCs w:val="32"/>
        </w:rPr>
      </w:pPr>
      <w:bookmarkStart w:id="38" w:name="_Toc122898362"/>
      <w:bookmarkStart w:id="39" w:name="_Toc122898405"/>
      <w:bookmarkStart w:id="40" w:name="_Toc122990795"/>
      <w:r>
        <w:rPr>
          <w:rFonts w:hint="eastAsia" w:ascii="仿宋_GB2312"/>
          <w:szCs w:val="32"/>
        </w:rPr>
        <w:t>3. 推进河道生态综合治理</w:t>
      </w:r>
      <w:bookmarkEnd w:id="38"/>
      <w:bookmarkEnd w:id="39"/>
      <w:bookmarkEnd w:id="40"/>
      <w:r>
        <w:rPr>
          <w:rFonts w:hint="eastAsia" w:ascii="仿宋_GB2312"/>
          <w:szCs w:val="32"/>
        </w:rPr>
        <w:t>。优化水资源配置，实施柳行河等河道补水工程，通过济南水质净化一厂尾水提升至柳行河、全福河上游，改善柳行河、全福河河道水生态环境，对保障小清河水质稳定达标，改善城区河道水环境质量、提高再生水利用率具有重要意义。</w:t>
      </w:r>
    </w:p>
    <w:p>
      <w:pPr>
        <w:ind w:firstLine="640"/>
        <w:rPr>
          <w:rFonts w:ascii="仿宋_GB2312"/>
          <w:szCs w:val="32"/>
        </w:rPr>
      </w:pPr>
      <w:r>
        <w:rPr>
          <w:rFonts w:hint="eastAsia" w:ascii="仿宋_GB2312"/>
          <w:szCs w:val="32"/>
        </w:rPr>
        <w:t>以河长制、湖长制落实为引领，深入实施“一河一策”体系，完成大辛河上游旅游路以南、全福河旅游路到和平路段截污整治，对广场东沟、历山路边沟、马家庄西沟等河道实施改造整治，对全区23条河道实现保洁全覆盖，为“水清、岸绿、景美、河畅”的水生态环境提供有力保障。</w:t>
      </w:r>
    </w:p>
    <w:p>
      <w:pPr>
        <w:ind w:firstLine="640"/>
        <w:rPr>
          <w:rFonts w:ascii="仿宋_GB2312"/>
          <w:szCs w:val="32"/>
        </w:rPr>
      </w:pPr>
      <w:bookmarkStart w:id="41" w:name="_Toc122990796"/>
      <w:bookmarkStart w:id="42" w:name="_Toc122898363"/>
      <w:bookmarkStart w:id="43" w:name="_Toc122898406"/>
      <w:r>
        <w:rPr>
          <w:rFonts w:hint="eastAsia" w:ascii="仿宋_GB2312"/>
          <w:szCs w:val="32"/>
        </w:rPr>
        <w:t>4. 污染物收集与治理情况</w:t>
      </w:r>
      <w:bookmarkEnd w:id="41"/>
      <w:bookmarkEnd w:id="42"/>
      <w:bookmarkEnd w:id="43"/>
      <w:r>
        <w:rPr>
          <w:rFonts w:hint="eastAsia" w:ascii="仿宋_GB2312"/>
          <w:szCs w:val="32"/>
        </w:rPr>
        <w:t>。启动窑头片区与佛山苑片区小区院落雨污分流工程，从根本上解决小区院落雨污混流问题。</w:t>
      </w:r>
    </w:p>
    <w:p>
      <w:pPr>
        <w:ind w:firstLine="640"/>
        <w:rPr>
          <w:rFonts w:ascii="仿宋_GB2312"/>
          <w:szCs w:val="32"/>
        </w:rPr>
      </w:pPr>
      <w:r>
        <w:rPr>
          <w:rFonts w:hint="eastAsia" w:ascii="仿宋_GB2312"/>
          <w:szCs w:val="32"/>
        </w:rPr>
        <w:t>全面开展对河道沿线排污口的排查，摸清各入河排污口污水排放情况，对存在污水溢流问题的排污口及时上报，积极协调历下区水务部门对存在污水溢流的排污口进行整治。</w:t>
      </w:r>
    </w:p>
    <w:p>
      <w:pPr>
        <w:ind w:firstLine="640"/>
        <w:rPr>
          <w:rFonts w:ascii="仿宋_GB2312"/>
          <w:szCs w:val="32"/>
        </w:rPr>
      </w:pPr>
      <w:r>
        <w:rPr>
          <w:rFonts w:hint="eastAsia" w:ascii="仿宋_GB2312"/>
          <w:szCs w:val="32"/>
        </w:rPr>
        <w:t>为了确保饮用水保护区环境安全，历下区建立日常环境监察机制，定期开展现场检查。同时，不定期联合区水务、区市政和相关办事处规范饮用水源地周边商户排水，确保污水入管网，杜绝地下水污染隐患。</w:t>
      </w:r>
    </w:p>
    <w:p>
      <w:pPr>
        <w:ind w:firstLine="640"/>
        <w:rPr>
          <w:rFonts w:ascii="仿宋_GB2312"/>
          <w:szCs w:val="32"/>
        </w:rPr>
      </w:pPr>
      <w:bookmarkStart w:id="44" w:name="_Toc122898364"/>
      <w:bookmarkStart w:id="45" w:name="_Toc122990797"/>
      <w:bookmarkStart w:id="46" w:name="_Toc122898407"/>
      <w:r>
        <w:rPr>
          <w:rFonts w:hint="eastAsia" w:ascii="仿宋_GB2312"/>
          <w:szCs w:val="32"/>
        </w:rPr>
        <w:t>5. 工作经验</w:t>
      </w:r>
      <w:bookmarkEnd w:id="44"/>
      <w:bookmarkEnd w:id="45"/>
      <w:bookmarkEnd w:id="46"/>
      <w:r>
        <w:rPr>
          <w:rFonts w:hint="eastAsia" w:ascii="仿宋_GB2312"/>
          <w:szCs w:val="32"/>
        </w:rPr>
        <w:t>。历下区结合自己的“十三五”期间水环境保护实施成果和经验，找出代价小、效益好、可持续的治理保护措施及行之有效的政策保障机制。坚持从严治党，党的全面建设再上新台阶；坚持标本兼治，污染防治攻坚战取得新突破；坚持改革创新，加强环境网格化建设，积极推动互联网技术在环境监察和环境监测方面的应用，进一步提升环境监察和环境监测能力。</w:t>
      </w:r>
    </w:p>
    <w:p>
      <w:pPr>
        <w:ind w:firstLine="640"/>
        <w:rPr>
          <w:rFonts w:ascii="楷体_GB2312" w:eastAsia="楷体_GB2312"/>
          <w:szCs w:val="32"/>
        </w:rPr>
      </w:pPr>
      <w:bookmarkStart w:id="47" w:name="_Toc122990798"/>
      <w:bookmarkStart w:id="48" w:name="_Toc122898365"/>
      <w:r>
        <w:rPr>
          <w:rFonts w:hint="eastAsia" w:ascii="楷体_GB2312" w:eastAsia="楷体_GB2312"/>
          <w:szCs w:val="32"/>
        </w:rPr>
        <w:t>（五）水生态环境形势</w:t>
      </w:r>
      <w:bookmarkEnd w:id="47"/>
      <w:bookmarkEnd w:id="48"/>
      <w:r>
        <w:rPr>
          <w:rFonts w:hint="eastAsia" w:ascii="楷体_GB2312" w:eastAsia="楷体_GB2312"/>
          <w:szCs w:val="32"/>
        </w:rPr>
        <w:t>。</w:t>
      </w:r>
      <w:r>
        <w:rPr>
          <w:rFonts w:hint="eastAsia" w:ascii="仿宋_GB2312"/>
          <w:szCs w:val="32"/>
        </w:rPr>
        <w:t>根据2016-2020年历下区市控水质监测结果，历下区水环境质量在不断改善，但仍存在部分断面不稳定达标情况。除此之外，受降水等来水水源影响，部分河道断流现象较为明显。</w:t>
      </w:r>
    </w:p>
    <w:p>
      <w:pPr>
        <w:ind w:firstLine="640"/>
        <w:rPr>
          <w:rFonts w:ascii="仿宋_GB2312"/>
          <w:szCs w:val="32"/>
        </w:rPr>
      </w:pPr>
      <w:r>
        <w:rPr>
          <w:rFonts w:hint="eastAsia" w:ascii="仿宋_GB2312"/>
          <w:szCs w:val="32"/>
        </w:rPr>
        <w:t>“十四五”期间，黄河流域生态保护和高质量发展国家战略深入实施，强省会战略，打造五个济南，历下区“双核引领、东西共进、两翼齐飞”战略，为历下区水生态环境保护带来新机遇；历下区经济实力强，产业越来越高端化、智能化、融合化，为水生态环境治理提供有力条件。然而，由于发展起步较早，城区基础设施建设老旧，而中央商务区（以下简称CBD）等地城镇人口数量逐渐增加，“十四五”期间城市水生态环境压力逐渐增大。首先，污水管网出现管道老化、破损和堵塞等导致污水外溢的情况；其次，道路、小区院落雨污分流不彻底，在遭遇强降水，会出现雨污混流、污水倒灌进河道等影响水环境质量现象；然后，CBD片区常住人口以及办公人口增加，片区内用水量以及污水量急剧增加，区域内供水压力、污水收集与处理压力增加；最后，辖区内河流属于季节性河流，柳行河、全福河等河流断流问题较为突出，距离满足人民群众日益增长的美好水生态环境需要，实现“清水绿岸、鱼翔浅底”景象的美好愿景仍有较大差距。</w:t>
      </w:r>
    </w:p>
    <w:p>
      <w:pPr>
        <w:ind w:firstLine="640"/>
        <w:rPr>
          <w:rFonts w:ascii="楷体_GB2312" w:eastAsia="楷体_GB2312"/>
          <w:szCs w:val="32"/>
        </w:rPr>
      </w:pPr>
      <w:bookmarkStart w:id="49" w:name="_Toc122990799"/>
      <w:bookmarkStart w:id="50" w:name="_Toc122898366"/>
      <w:r>
        <w:rPr>
          <w:rFonts w:hint="eastAsia" w:ascii="楷体_GB2312" w:eastAsia="楷体_GB2312"/>
          <w:szCs w:val="32"/>
        </w:rPr>
        <w:t>（六）存在的主要问题</w:t>
      </w:r>
      <w:bookmarkEnd w:id="49"/>
      <w:bookmarkEnd w:id="50"/>
      <w:r>
        <w:rPr>
          <w:rFonts w:hint="eastAsia" w:ascii="楷体_GB2312" w:eastAsia="楷体_GB2312"/>
          <w:szCs w:val="32"/>
        </w:rPr>
        <w:t>。</w:t>
      </w:r>
    </w:p>
    <w:p>
      <w:pPr>
        <w:ind w:firstLine="640"/>
        <w:rPr>
          <w:rFonts w:ascii="仿宋_GB2312"/>
          <w:szCs w:val="32"/>
        </w:rPr>
      </w:pPr>
      <w:bookmarkStart w:id="51" w:name="_Toc122990800"/>
      <w:bookmarkStart w:id="52" w:name="_Toc122898410"/>
      <w:bookmarkStart w:id="53" w:name="_Toc122898367"/>
      <w:r>
        <w:rPr>
          <w:rFonts w:hint="eastAsia" w:ascii="仿宋_GB2312"/>
          <w:szCs w:val="32"/>
        </w:rPr>
        <w:t>1. 重点河流水质存在超标风险或不稳定达标</w:t>
      </w:r>
      <w:bookmarkEnd w:id="51"/>
      <w:bookmarkEnd w:id="52"/>
      <w:bookmarkEnd w:id="53"/>
      <w:r>
        <w:rPr>
          <w:rFonts w:hint="eastAsia" w:ascii="仿宋_GB2312"/>
          <w:szCs w:val="32"/>
        </w:rPr>
        <w:t>。城镇管网雨污分流不彻底。历下区十亩园、明湖片区等区域雨污分流不彻底，存在雨污混接错接问题，在汛期大雨或排水系统内水量急剧增加时，易出现污水溢流至雨水管道现象，影响河道水体水质。</w:t>
      </w:r>
    </w:p>
    <w:p>
      <w:pPr>
        <w:ind w:firstLine="640"/>
        <w:rPr>
          <w:rFonts w:ascii="仿宋_GB2312"/>
          <w:szCs w:val="32"/>
        </w:rPr>
      </w:pPr>
      <w:r>
        <w:rPr>
          <w:rFonts w:hint="eastAsia" w:ascii="仿宋_GB2312"/>
          <w:szCs w:val="32"/>
        </w:rPr>
        <w:t xml:space="preserve">污水管网老化，污水冒溢。由于历下区污水管线建设较早、标准不高，经过多年运行经常出现因管道老化、破损和堵塞等导致污水外溢的情况。 </w:t>
      </w:r>
    </w:p>
    <w:p>
      <w:pPr>
        <w:ind w:firstLine="640"/>
        <w:rPr>
          <w:rFonts w:ascii="仿宋_GB2312"/>
          <w:szCs w:val="32"/>
        </w:rPr>
      </w:pPr>
      <w:r>
        <w:rPr>
          <w:rFonts w:hint="eastAsia" w:ascii="仿宋_GB2312"/>
          <w:szCs w:val="32"/>
        </w:rPr>
        <w:t>部分棚盖河道生活排污口较多，污水直排河道。老龙沟、中井洪沟、历山路边沟等部分河道为棚盖区域，河道挡墙、河底存在破损现象，存在一定的安全隐患；除此之外，棚盖下的生活排污口、渗漏点较多，污水管网内的污水容易直排进入河道，严重影响河道水质。</w:t>
      </w:r>
    </w:p>
    <w:p>
      <w:pPr>
        <w:ind w:firstLine="640"/>
        <w:rPr>
          <w:rFonts w:ascii="仿宋_GB2312"/>
          <w:szCs w:val="32"/>
        </w:rPr>
      </w:pPr>
      <w:bookmarkStart w:id="54" w:name="_Toc122898368"/>
      <w:bookmarkStart w:id="55" w:name="_Hlk60320164"/>
      <w:bookmarkStart w:id="56" w:name="_Toc122990801"/>
      <w:bookmarkStart w:id="57" w:name="_Toc122898411"/>
      <w:r>
        <w:rPr>
          <w:rFonts w:hint="eastAsia" w:ascii="仿宋_GB2312"/>
          <w:szCs w:val="32"/>
        </w:rPr>
        <w:t>2. 部分河道基流无法保障</w:t>
      </w:r>
      <w:bookmarkEnd w:id="54"/>
      <w:bookmarkEnd w:id="55"/>
      <w:bookmarkEnd w:id="56"/>
      <w:bookmarkEnd w:id="57"/>
      <w:r>
        <w:rPr>
          <w:rFonts w:hint="eastAsia" w:ascii="仿宋_GB2312"/>
          <w:szCs w:val="32"/>
        </w:rPr>
        <w:t>。历下区的河流大部分为季节性河流，大辛河、全福河等河道经常断流，生态基流无法保障。</w:t>
      </w:r>
    </w:p>
    <w:p>
      <w:pPr>
        <w:ind w:firstLine="640"/>
        <w:rPr>
          <w:rFonts w:ascii="仿宋_GB2312"/>
          <w:szCs w:val="32"/>
        </w:rPr>
      </w:pPr>
      <w:bookmarkStart w:id="58" w:name="_Toc122990802"/>
      <w:bookmarkStart w:id="59" w:name="_Toc122898369"/>
      <w:bookmarkStart w:id="60" w:name="_Toc122898412"/>
      <w:bookmarkStart w:id="61" w:name="_Hlk60320182"/>
      <w:r>
        <w:rPr>
          <w:rFonts w:hint="eastAsia" w:ascii="仿宋_GB2312"/>
          <w:szCs w:val="32"/>
        </w:rPr>
        <w:t>3. 个别水体自净能力差</w:t>
      </w:r>
      <w:bookmarkEnd w:id="58"/>
      <w:bookmarkEnd w:id="59"/>
      <w:bookmarkEnd w:id="60"/>
      <w:r>
        <w:rPr>
          <w:rFonts w:hint="eastAsia" w:ascii="仿宋_GB2312"/>
          <w:szCs w:val="32"/>
        </w:rPr>
        <w:t>。</w:t>
      </w:r>
      <w:bookmarkEnd w:id="61"/>
      <w:r>
        <w:rPr>
          <w:rFonts w:hint="eastAsia" w:ascii="仿宋_GB2312"/>
          <w:szCs w:val="32"/>
        </w:rPr>
        <w:t>广场东沟等建成区内水体浮游植物、浮游动物少，明显低于济南市平均水平，生物多样性不足，水体自净能力差。大明湖为景观活动区域，尽管水生动植物数量较为丰富，但由于水体流动性较差，TN浓度较高，水体呈现轻度富营养化。</w:t>
      </w:r>
    </w:p>
    <w:p>
      <w:pPr>
        <w:ind w:firstLine="640"/>
        <w:rPr>
          <w:rFonts w:ascii="黑体" w:hAnsi="黑体" w:eastAsia="黑体"/>
          <w:szCs w:val="32"/>
        </w:rPr>
      </w:pPr>
      <w:bookmarkStart w:id="62" w:name="_Toc122990803"/>
      <w:r>
        <w:rPr>
          <w:rFonts w:hint="eastAsia" w:ascii="黑体" w:hAnsi="黑体" w:eastAsia="黑体"/>
          <w:szCs w:val="32"/>
        </w:rPr>
        <w:t>二、总体思路与目标</w:t>
      </w:r>
      <w:bookmarkEnd w:id="62"/>
    </w:p>
    <w:p>
      <w:pPr>
        <w:spacing w:line="540" w:lineRule="exact"/>
        <w:ind w:firstLine="640"/>
        <w:rPr>
          <w:rFonts w:ascii="楷体_GB2312" w:eastAsia="楷体_GB2312"/>
          <w:szCs w:val="32"/>
        </w:rPr>
      </w:pPr>
      <w:bookmarkStart w:id="63" w:name="_Toc122898370"/>
      <w:bookmarkStart w:id="64" w:name="_Toc122990804"/>
      <w:r>
        <w:rPr>
          <w:rFonts w:hint="eastAsia" w:ascii="楷体_GB2312" w:eastAsia="楷体_GB2312"/>
          <w:szCs w:val="32"/>
        </w:rPr>
        <w:t>（一）指导思想</w:t>
      </w:r>
      <w:bookmarkEnd w:id="63"/>
      <w:bookmarkEnd w:id="64"/>
      <w:r>
        <w:rPr>
          <w:rFonts w:hint="eastAsia" w:ascii="楷体_GB2312" w:eastAsia="楷体_GB2312"/>
          <w:szCs w:val="32"/>
        </w:rPr>
        <w:t>。</w:t>
      </w:r>
      <w:bookmarkStart w:id="65" w:name="_Hlk80105569"/>
      <w:r>
        <w:rPr>
          <w:rFonts w:hint="eastAsia" w:ascii="仿宋_GB2312"/>
          <w:szCs w:val="32"/>
        </w:rPr>
        <w:t>以习近平新时代中国特色社会主义思想为指导，全面贯彻党的二十大精神，认真落实党中央、国务院、山东省、济南市关于生态文明建设和生态环境保护总体部署和要求，树立尊重自然、顺应自然、保护自然的生态文明理念，以改善水生态环境为核心，维护生态安全，保障饮用水安全，巩固黑臭水体治理成效，坚持精准治污、科学治污、依法治污，持续深入打好碧水保卫战。</w:t>
      </w:r>
    </w:p>
    <w:bookmarkEnd w:id="65"/>
    <w:p>
      <w:pPr>
        <w:spacing w:line="540" w:lineRule="exact"/>
        <w:ind w:firstLine="640"/>
        <w:rPr>
          <w:rFonts w:ascii="楷体_GB2312" w:eastAsia="楷体_GB2312"/>
          <w:szCs w:val="32"/>
        </w:rPr>
      </w:pPr>
      <w:bookmarkStart w:id="66" w:name="_Toc68007729"/>
      <w:bookmarkStart w:id="67" w:name="_Toc122990805"/>
      <w:bookmarkStart w:id="68" w:name="_Toc122898371"/>
      <w:r>
        <w:rPr>
          <w:rFonts w:hint="eastAsia" w:ascii="楷体_GB2312" w:eastAsia="楷体_GB2312"/>
          <w:szCs w:val="32"/>
        </w:rPr>
        <w:t>（二）编制原则</w:t>
      </w:r>
      <w:bookmarkEnd w:id="66"/>
      <w:bookmarkEnd w:id="67"/>
      <w:bookmarkEnd w:id="68"/>
      <w:r>
        <w:rPr>
          <w:rFonts w:hint="eastAsia" w:ascii="楷体_GB2312" w:eastAsia="楷体_GB2312"/>
          <w:szCs w:val="32"/>
        </w:rPr>
        <w:t>。</w:t>
      </w:r>
      <w:r>
        <w:rPr>
          <w:rFonts w:hint="eastAsia" w:ascii="仿宋_GB2312"/>
          <w:szCs w:val="32"/>
        </w:rPr>
        <w:t>“三水”统筹，系统治理。坚持山水林田湖草沙一体化保护和系统治理，统筹水资源、水生态、水环境，系统推进工业、生活污染治理，河湖生态流量保障，生态系统保护修复和风险防控等任务。</w:t>
      </w:r>
    </w:p>
    <w:p>
      <w:pPr>
        <w:spacing w:line="540" w:lineRule="exact"/>
        <w:ind w:firstLine="640"/>
        <w:rPr>
          <w:rFonts w:ascii="仿宋_GB2312"/>
          <w:szCs w:val="32"/>
        </w:rPr>
      </w:pPr>
      <w:r>
        <w:rPr>
          <w:rFonts w:hint="eastAsia" w:ascii="仿宋_GB2312"/>
          <w:szCs w:val="32"/>
        </w:rPr>
        <w:t>突出重点，问题导向。以群众身边的水环境污染、水生态破坏、生态流量匮乏等突出生态环境问题为重点，坚持问题导向，加强涉水问题分析研判，抓住问题根源及变化趋势，因地制宜，精准施策，防止“一刀切”，实现标本兼治，进一步推动治水从经验治理向精准治理转变。</w:t>
      </w:r>
    </w:p>
    <w:p>
      <w:pPr>
        <w:spacing w:line="540" w:lineRule="exact"/>
        <w:ind w:firstLine="640"/>
        <w:rPr>
          <w:rFonts w:ascii="仿宋_GB2312"/>
          <w:szCs w:val="32"/>
        </w:rPr>
      </w:pPr>
      <w:r>
        <w:rPr>
          <w:rFonts w:hint="eastAsia" w:ascii="仿宋_GB2312"/>
          <w:szCs w:val="32"/>
        </w:rPr>
        <w:t>实事求是，因地制宜。客观分析当地水生态环境质量状况、生态环境保护工作基础和经济社会发展现状，结合辖区资源禀赋等不同特点，系统设计针对性任务措施。</w:t>
      </w:r>
    </w:p>
    <w:p>
      <w:pPr>
        <w:spacing w:line="540" w:lineRule="exact"/>
        <w:ind w:firstLine="640"/>
        <w:rPr>
          <w:rFonts w:ascii="仿宋_GB2312"/>
          <w:szCs w:val="32"/>
        </w:rPr>
      </w:pPr>
      <w:r>
        <w:rPr>
          <w:rFonts w:hint="eastAsia" w:ascii="仿宋_GB2312"/>
          <w:szCs w:val="32"/>
        </w:rPr>
        <w:t>上下联动，形成合力。注重国家、省、市与地方联动，严格遵守上级部门的生态环境指导性文件，做好规划动作。在规划编制过程中强化部门之间的沟通交流，加强本规划与其他规划相衔接，关注问题、成因、目标、任务、责任等清单的落实。</w:t>
      </w:r>
    </w:p>
    <w:p>
      <w:pPr>
        <w:spacing w:line="540" w:lineRule="exact"/>
        <w:ind w:firstLine="640"/>
        <w:rPr>
          <w:rFonts w:ascii="楷体_GB2312" w:eastAsia="楷体_GB2312"/>
          <w:szCs w:val="32"/>
        </w:rPr>
      </w:pPr>
      <w:bookmarkStart w:id="69" w:name="_Toc122990806"/>
      <w:bookmarkStart w:id="70" w:name="_Toc122898372"/>
      <w:r>
        <w:rPr>
          <w:rStyle w:val="18"/>
          <w:rFonts w:hint="eastAsia"/>
        </w:rPr>
        <w:t>（三）实施</w:t>
      </w:r>
      <w:r>
        <w:rPr>
          <w:rFonts w:hint="eastAsia" w:ascii="楷体_GB2312" w:eastAsia="楷体_GB2312"/>
          <w:szCs w:val="32"/>
        </w:rPr>
        <w:t>范围与时限</w:t>
      </w:r>
      <w:bookmarkEnd w:id="69"/>
      <w:bookmarkEnd w:id="70"/>
      <w:r>
        <w:rPr>
          <w:rFonts w:hint="eastAsia" w:ascii="楷体_GB2312" w:eastAsia="楷体_GB2312"/>
          <w:szCs w:val="32"/>
        </w:rPr>
        <w:t>。</w:t>
      </w:r>
      <w:bookmarkStart w:id="71" w:name="_Hlk70351545"/>
      <w:r>
        <w:rPr>
          <w:rFonts w:hint="eastAsia" w:ascii="仿宋_GB2312" w:hAnsi="楷体"/>
          <w:szCs w:val="32"/>
        </w:rPr>
        <w:t>实施范围：</w:t>
      </w:r>
      <w:r>
        <w:rPr>
          <w:rFonts w:hint="eastAsia" w:ascii="仿宋_GB2312"/>
          <w:szCs w:val="32"/>
        </w:rPr>
        <w:t>本规划实施范围包括历下区全部行政区域，包含辖区内所有河流、湖库以及饮用水水源地。</w:t>
      </w:r>
    </w:p>
    <w:p>
      <w:pPr>
        <w:spacing w:line="540" w:lineRule="exact"/>
        <w:ind w:firstLine="640"/>
        <w:rPr>
          <w:rFonts w:ascii="仿宋_GB2312"/>
          <w:szCs w:val="32"/>
        </w:rPr>
      </w:pPr>
      <w:r>
        <w:rPr>
          <w:rFonts w:hint="eastAsia" w:ascii="仿宋_GB2312"/>
          <w:szCs w:val="32"/>
        </w:rPr>
        <w:t>实施时限：2020年为基准年，以2025年为目标年，展望至2035年。</w:t>
      </w:r>
      <w:bookmarkEnd w:id="71"/>
      <w:bookmarkStart w:id="72" w:name="_Toc122990807"/>
      <w:bookmarkStart w:id="73" w:name="_Toc122898373"/>
    </w:p>
    <w:p>
      <w:pPr>
        <w:spacing w:line="540" w:lineRule="exact"/>
        <w:ind w:firstLine="640"/>
        <w:rPr>
          <w:rFonts w:ascii="楷体_GB2312" w:eastAsia="楷体_GB2312"/>
          <w:szCs w:val="32"/>
        </w:rPr>
      </w:pPr>
      <w:r>
        <w:rPr>
          <w:rFonts w:hint="eastAsia" w:ascii="楷体_GB2312" w:eastAsia="楷体_GB2312"/>
          <w:szCs w:val="32"/>
        </w:rPr>
        <w:t>（四）水生态环境保护目标</w:t>
      </w:r>
      <w:bookmarkEnd w:id="72"/>
      <w:bookmarkEnd w:id="73"/>
      <w:r>
        <w:rPr>
          <w:rFonts w:hint="eastAsia" w:ascii="楷体_GB2312" w:eastAsia="楷体_GB2312"/>
          <w:szCs w:val="32"/>
        </w:rPr>
        <w:t>。</w:t>
      </w:r>
      <w:r>
        <w:rPr>
          <w:rFonts w:hint="eastAsia" w:ascii="仿宋_GB2312"/>
          <w:szCs w:val="32"/>
        </w:rPr>
        <w:t>到2025年，全区水环境质量持续改善，全福河、柳行河等河道水环境质量明显改善，大明湖历下亭省控断面稳定达标，各市控断面基本达标；城市黑臭水体全面消除；全福河、柳行河等重点河流基本实现“有河有水”，水环境、水生态、水资源统筹推进格局初步形成。</w:t>
      </w:r>
    </w:p>
    <w:p>
      <w:pPr>
        <w:spacing w:line="540" w:lineRule="exact"/>
        <w:ind w:firstLine="640"/>
        <w:rPr>
          <w:rFonts w:ascii="仿宋_GB2312"/>
          <w:szCs w:val="32"/>
        </w:rPr>
      </w:pPr>
      <w:r>
        <w:rPr>
          <w:rFonts w:hint="eastAsia" w:ascii="仿宋_GB2312"/>
          <w:szCs w:val="32"/>
        </w:rPr>
        <w:t>展望到2035年，全区水环境质量总体改善，市控及其以上重点河流考核断面恢复水环境功能（《地表水环境质量标准》（GB 3838-2002）表1中除水温、粪大肠菌群、总氮以外的21项指标年均值达标）。</w:t>
      </w:r>
    </w:p>
    <w:p>
      <w:pPr>
        <w:ind w:firstLine="0" w:firstLineChars="0"/>
        <w:jc w:val="center"/>
        <w:rPr>
          <w:rFonts w:ascii="黑体" w:hAnsi="黑体" w:eastAsia="黑体"/>
        </w:rPr>
      </w:pPr>
      <w:r>
        <w:rPr>
          <w:rFonts w:hint="eastAsia" w:ascii="黑体" w:hAnsi="黑体" w:eastAsia="黑体"/>
          <w:sz w:val="28"/>
          <w:szCs w:val="21"/>
        </w:rPr>
        <w:t>表2</w:t>
      </w:r>
      <w:r>
        <w:rPr>
          <w:rFonts w:ascii="黑体" w:hAnsi="黑体" w:eastAsia="黑体"/>
          <w:sz w:val="28"/>
          <w:szCs w:val="21"/>
        </w:rPr>
        <w:t xml:space="preserve"> 目标指标表</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955"/>
        <w:gridCol w:w="709"/>
        <w:gridCol w:w="4536"/>
        <w:gridCol w:w="993"/>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blHeader/>
        </w:trPr>
        <w:tc>
          <w:tcPr>
            <w:tcW w:w="1011" w:type="pct"/>
            <w:gridSpan w:val="2"/>
            <w:shd w:val="clear" w:color="auto" w:fill="auto"/>
            <w:vAlign w:val="center"/>
          </w:tcPr>
          <w:p>
            <w:pPr>
              <w:widowControl/>
              <w:adjustRightInd w:val="0"/>
              <w:snapToGrid w:val="0"/>
              <w:spacing w:line="240" w:lineRule="auto"/>
              <w:ind w:firstLine="0" w:firstLineChars="0"/>
              <w:jc w:val="center"/>
              <w:rPr>
                <w:rFonts w:ascii="黑体" w:hAnsi="黑体" w:eastAsia="黑体"/>
                <w:kern w:val="0"/>
                <w:sz w:val="21"/>
                <w:szCs w:val="21"/>
              </w:rPr>
            </w:pPr>
            <w:r>
              <w:rPr>
                <w:rFonts w:ascii="黑体" w:hAnsi="黑体" w:eastAsia="黑体"/>
                <w:kern w:val="0"/>
                <w:sz w:val="21"/>
                <w:szCs w:val="21"/>
              </w:rPr>
              <w:t>类别</w:t>
            </w:r>
          </w:p>
        </w:tc>
        <w:tc>
          <w:tcPr>
            <w:tcW w:w="396" w:type="pct"/>
            <w:shd w:val="clear" w:color="auto" w:fill="auto"/>
            <w:vAlign w:val="center"/>
          </w:tcPr>
          <w:p>
            <w:pPr>
              <w:widowControl/>
              <w:adjustRightInd w:val="0"/>
              <w:snapToGrid w:val="0"/>
              <w:spacing w:line="240" w:lineRule="auto"/>
              <w:ind w:firstLine="0" w:firstLineChars="0"/>
              <w:jc w:val="center"/>
              <w:rPr>
                <w:rFonts w:ascii="黑体" w:hAnsi="黑体" w:eastAsia="黑体"/>
                <w:kern w:val="0"/>
                <w:sz w:val="21"/>
                <w:szCs w:val="21"/>
              </w:rPr>
            </w:pPr>
            <w:r>
              <w:rPr>
                <w:rFonts w:ascii="黑体" w:hAnsi="黑体" w:eastAsia="黑体"/>
                <w:kern w:val="0"/>
                <w:sz w:val="21"/>
                <w:szCs w:val="21"/>
              </w:rPr>
              <w:t>序号</w:t>
            </w:r>
          </w:p>
        </w:tc>
        <w:tc>
          <w:tcPr>
            <w:tcW w:w="2535" w:type="pct"/>
            <w:shd w:val="clear" w:color="auto" w:fill="auto"/>
            <w:vAlign w:val="center"/>
          </w:tcPr>
          <w:p>
            <w:pPr>
              <w:widowControl/>
              <w:adjustRightInd w:val="0"/>
              <w:snapToGrid w:val="0"/>
              <w:spacing w:line="240" w:lineRule="auto"/>
              <w:ind w:firstLine="0" w:firstLineChars="0"/>
              <w:jc w:val="center"/>
              <w:rPr>
                <w:rFonts w:ascii="黑体" w:hAnsi="黑体" w:eastAsia="黑体"/>
                <w:kern w:val="0"/>
                <w:sz w:val="21"/>
                <w:szCs w:val="21"/>
              </w:rPr>
            </w:pPr>
            <w:r>
              <w:rPr>
                <w:rFonts w:ascii="黑体" w:hAnsi="黑体" w:eastAsia="黑体"/>
                <w:kern w:val="0"/>
                <w:sz w:val="21"/>
                <w:szCs w:val="21"/>
              </w:rPr>
              <w:t>指标</w:t>
            </w:r>
          </w:p>
        </w:tc>
        <w:tc>
          <w:tcPr>
            <w:tcW w:w="555" w:type="pct"/>
            <w:shd w:val="clear" w:color="auto" w:fill="auto"/>
            <w:vAlign w:val="center"/>
          </w:tcPr>
          <w:p>
            <w:pPr>
              <w:widowControl/>
              <w:adjustRightInd w:val="0"/>
              <w:snapToGrid w:val="0"/>
              <w:spacing w:line="240" w:lineRule="auto"/>
              <w:ind w:firstLine="0" w:firstLineChars="0"/>
              <w:jc w:val="center"/>
              <w:rPr>
                <w:rFonts w:ascii="黑体" w:hAnsi="黑体" w:eastAsia="黑体"/>
                <w:kern w:val="0"/>
                <w:sz w:val="21"/>
                <w:szCs w:val="21"/>
              </w:rPr>
            </w:pPr>
            <w:r>
              <w:rPr>
                <w:rFonts w:ascii="黑体" w:hAnsi="黑体" w:eastAsia="黑体"/>
                <w:kern w:val="0"/>
                <w:sz w:val="21"/>
                <w:szCs w:val="21"/>
              </w:rPr>
              <w:t>2020年</w:t>
            </w:r>
          </w:p>
        </w:tc>
        <w:tc>
          <w:tcPr>
            <w:tcW w:w="503" w:type="pct"/>
            <w:shd w:val="clear" w:color="auto" w:fill="auto"/>
            <w:vAlign w:val="center"/>
          </w:tcPr>
          <w:p>
            <w:pPr>
              <w:widowControl/>
              <w:adjustRightInd w:val="0"/>
              <w:snapToGrid w:val="0"/>
              <w:spacing w:line="240" w:lineRule="auto"/>
              <w:ind w:firstLine="0" w:firstLineChars="0"/>
              <w:jc w:val="center"/>
              <w:rPr>
                <w:rFonts w:ascii="黑体" w:hAnsi="黑体" w:eastAsia="黑体"/>
                <w:kern w:val="0"/>
                <w:sz w:val="21"/>
                <w:szCs w:val="21"/>
              </w:rPr>
            </w:pPr>
            <w:r>
              <w:rPr>
                <w:rFonts w:ascii="黑体" w:hAnsi="黑体" w:eastAsia="黑体"/>
                <w:kern w:val="0"/>
                <w:sz w:val="21"/>
                <w:szCs w:val="21"/>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477" w:type="pct"/>
            <w:vMerge w:val="restart"/>
            <w:shd w:val="clear" w:color="auto" w:fill="auto"/>
            <w:vAlign w:val="center"/>
          </w:tcPr>
          <w:p>
            <w:pPr>
              <w:widowControl/>
              <w:adjustRightInd w:val="0"/>
              <w:snapToGrid w:val="0"/>
              <w:spacing w:line="240" w:lineRule="auto"/>
              <w:ind w:firstLine="0" w:firstLineChars="0"/>
              <w:jc w:val="center"/>
              <w:rPr>
                <w:kern w:val="0"/>
                <w:sz w:val="21"/>
                <w:szCs w:val="21"/>
              </w:rPr>
            </w:pPr>
            <w:r>
              <w:rPr>
                <w:kern w:val="0"/>
                <w:sz w:val="21"/>
                <w:szCs w:val="21"/>
              </w:rPr>
              <w:t>常规性指标</w:t>
            </w:r>
          </w:p>
        </w:tc>
        <w:tc>
          <w:tcPr>
            <w:tcW w:w="533" w:type="pct"/>
            <w:vMerge w:val="restart"/>
            <w:shd w:val="clear" w:color="auto" w:fill="auto"/>
            <w:vAlign w:val="center"/>
          </w:tcPr>
          <w:p>
            <w:pPr>
              <w:widowControl/>
              <w:adjustRightInd w:val="0"/>
              <w:snapToGrid w:val="0"/>
              <w:spacing w:line="240" w:lineRule="auto"/>
              <w:ind w:firstLine="0" w:firstLineChars="0"/>
              <w:rPr>
                <w:kern w:val="0"/>
                <w:sz w:val="21"/>
                <w:szCs w:val="21"/>
              </w:rPr>
            </w:pPr>
            <w:r>
              <w:rPr>
                <w:kern w:val="0"/>
                <w:sz w:val="21"/>
                <w:szCs w:val="21"/>
              </w:rPr>
              <w:t>水环境</w:t>
            </w:r>
          </w:p>
        </w:tc>
        <w:tc>
          <w:tcPr>
            <w:tcW w:w="396" w:type="pct"/>
            <w:shd w:val="clear" w:color="auto" w:fill="auto"/>
            <w:vAlign w:val="center"/>
          </w:tcPr>
          <w:p>
            <w:pPr>
              <w:widowControl/>
              <w:adjustRightInd w:val="0"/>
              <w:snapToGrid w:val="0"/>
              <w:spacing w:line="240" w:lineRule="auto"/>
              <w:ind w:firstLine="0" w:firstLineChars="0"/>
              <w:jc w:val="center"/>
              <w:rPr>
                <w:kern w:val="0"/>
                <w:sz w:val="21"/>
                <w:szCs w:val="21"/>
              </w:rPr>
            </w:pPr>
            <w:r>
              <w:rPr>
                <w:kern w:val="0"/>
                <w:sz w:val="21"/>
                <w:szCs w:val="21"/>
              </w:rPr>
              <w:t>1</w:t>
            </w:r>
          </w:p>
        </w:tc>
        <w:tc>
          <w:tcPr>
            <w:tcW w:w="2535" w:type="pct"/>
            <w:shd w:val="clear" w:color="auto" w:fill="auto"/>
            <w:vAlign w:val="center"/>
          </w:tcPr>
          <w:p>
            <w:pPr>
              <w:widowControl/>
              <w:adjustRightInd w:val="0"/>
              <w:snapToGrid w:val="0"/>
              <w:spacing w:line="240" w:lineRule="auto"/>
              <w:ind w:firstLine="0" w:firstLineChars="0"/>
              <w:jc w:val="center"/>
              <w:rPr>
                <w:kern w:val="0"/>
                <w:sz w:val="21"/>
                <w:szCs w:val="21"/>
              </w:rPr>
            </w:pPr>
            <w:r>
              <w:rPr>
                <w:kern w:val="0"/>
                <w:sz w:val="21"/>
                <w:szCs w:val="21"/>
              </w:rPr>
              <w:t>地表水</w:t>
            </w:r>
            <w:r>
              <w:rPr>
                <w:rFonts w:hint="eastAsia"/>
                <w:kern w:val="0"/>
                <w:sz w:val="21"/>
                <w:szCs w:val="21"/>
              </w:rPr>
              <w:t>市控</w:t>
            </w:r>
            <w:r>
              <w:rPr>
                <w:kern w:val="0"/>
                <w:sz w:val="21"/>
                <w:szCs w:val="21"/>
              </w:rPr>
              <w:t>断面</w:t>
            </w:r>
            <w:r>
              <w:rPr>
                <w:rFonts w:hint="eastAsia"/>
                <w:kern w:val="0"/>
                <w:sz w:val="21"/>
                <w:szCs w:val="21"/>
              </w:rPr>
              <w:t>达标</w:t>
            </w:r>
            <w:r>
              <w:rPr>
                <w:kern w:val="0"/>
                <w:sz w:val="21"/>
                <w:szCs w:val="21"/>
              </w:rPr>
              <w:t>比例（%）</w:t>
            </w:r>
          </w:p>
        </w:tc>
        <w:tc>
          <w:tcPr>
            <w:tcW w:w="555" w:type="pct"/>
            <w:shd w:val="clear" w:color="auto" w:fill="auto"/>
            <w:vAlign w:val="center"/>
          </w:tcPr>
          <w:p>
            <w:pPr>
              <w:widowControl/>
              <w:adjustRightInd w:val="0"/>
              <w:snapToGrid w:val="0"/>
              <w:spacing w:line="240" w:lineRule="auto"/>
              <w:ind w:firstLine="0" w:firstLineChars="0"/>
              <w:jc w:val="center"/>
              <w:rPr>
                <w:kern w:val="0"/>
                <w:sz w:val="21"/>
                <w:szCs w:val="21"/>
              </w:rPr>
            </w:pPr>
            <w:r>
              <w:rPr>
                <w:kern w:val="0"/>
                <w:sz w:val="21"/>
                <w:szCs w:val="21"/>
              </w:rPr>
              <w:t>100</w:t>
            </w:r>
            <w:r>
              <w:rPr>
                <w:rFonts w:hint="eastAsia"/>
                <w:kern w:val="0"/>
                <w:sz w:val="21"/>
                <w:szCs w:val="21"/>
              </w:rPr>
              <w:t>%</w:t>
            </w:r>
          </w:p>
        </w:tc>
        <w:tc>
          <w:tcPr>
            <w:tcW w:w="503" w:type="pct"/>
            <w:shd w:val="clear" w:color="auto" w:fill="auto"/>
            <w:vAlign w:val="center"/>
          </w:tcPr>
          <w:p>
            <w:pPr>
              <w:widowControl/>
              <w:adjustRightInd w:val="0"/>
              <w:snapToGrid w:val="0"/>
              <w:spacing w:line="240" w:lineRule="auto"/>
              <w:ind w:firstLine="0" w:firstLineChars="0"/>
              <w:jc w:val="center"/>
              <w:rPr>
                <w:kern w:val="0"/>
                <w:sz w:val="21"/>
                <w:szCs w:val="21"/>
              </w:rPr>
            </w:pPr>
            <w:r>
              <w:rPr>
                <w:kern w:val="0"/>
                <w:sz w:val="21"/>
                <w:szCs w:val="21"/>
              </w:rPr>
              <w:t>100</w:t>
            </w:r>
            <w:r>
              <w:rPr>
                <w:rFonts w:hint="eastAsia"/>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477" w:type="pct"/>
            <w:vMerge w:val="continue"/>
            <w:shd w:val="clear" w:color="auto" w:fill="auto"/>
            <w:vAlign w:val="center"/>
          </w:tcPr>
          <w:p>
            <w:pPr>
              <w:widowControl/>
              <w:adjustRightInd w:val="0"/>
              <w:snapToGrid w:val="0"/>
              <w:spacing w:line="240" w:lineRule="auto"/>
              <w:ind w:firstLine="0" w:firstLineChars="0"/>
              <w:jc w:val="center"/>
              <w:rPr>
                <w:kern w:val="0"/>
                <w:sz w:val="21"/>
                <w:szCs w:val="21"/>
              </w:rPr>
            </w:pPr>
          </w:p>
        </w:tc>
        <w:tc>
          <w:tcPr>
            <w:tcW w:w="533" w:type="pct"/>
            <w:vMerge w:val="continue"/>
            <w:shd w:val="clear" w:color="auto" w:fill="auto"/>
            <w:vAlign w:val="center"/>
          </w:tcPr>
          <w:p>
            <w:pPr>
              <w:widowControl/>
              <w:adjustRightInd w:val="0"/>
              <w:snapToGrid w:val="0"/>
              <w:spacing w:line="240" w:lineRule="auto"/>
              <w:ind w:firstLine="0" w:firstLineChars="0"/>
              <w:jc w:val="center"/>
              <w:rPr>
                <w:kern w:val="0"/>
                <w:sz w:val="21"/>
                <w:szCs w:val="21"/>
              </w:rPr>
            </w:pPr>
          </w:p>
        </w:tc>
        <w:tc>
          <w:tcPr>
            <w:tcW w:w="396" w:type="pct"/>
            <w:shd w:val="clear" w:color="auto" w:fill="auto"/>
            <w:vAlign w:val="center"/>
          </w:tcPr>
          <w:p>
            <w:pPr>
              <w:widowControl/>
              <w:adjustRightInd w:val="0"/>
              <w:snapToGrid w:val="0"/>
              <w:spacing w:line="240" w:lineRule="auto"/>
              <w:ind w:firstLine="0" w:firstLineChars="0"/>
              <w:jc w:val="center"/>
              <w:rPr>
                <w:kern w:val="0"/>
                <w:sz w:val="21"/>
                <w:szCs w:val="21"/>
              </w:rPr>
            </w:pPr>
            <w:r>
              <w:rPr>
                <w:kern w:val="0"/>
                <w:sz w:val="21"/>
                <w:szCs w:val="21"/>
              </w:rPr>
              <w:t>2</w:t>
            </w:r>
          </w:p>
        </w:tc>
        <w:tc>
          <w:tcPr>
            <w:tcW w:w="2535" w:type="pct"/>
            <w:shd w:val="clear" w:color="auto" w:fill="auto"/>
            <w:vAlign w:val="center"/>
          </w:tcPr>
          <w:p>
            <w:pPr>
              <w:widowControl/>
              <w:adjustRightInd w:val="0"/>
              <w:snapToGrid w:val="0"/>
              <w:spacing w:line="240" w:lineRule="auto"/>
              <w:ind w:firstLine="0" w:firstLineChars="0"/>
              <w:jc w:val="center"/>
              <w:rPr>
                <w:kern w:val="0"/>
                <w:sz w:val="21"/>
                <w:szCs w:val="21"/>
              </w:rPr>
            </w:pPr>
            <w:r>
              <w:rPr>
                <w:kern w:val="0"/>
                <w:sz w:val="21"/>
                <w:szCs w:val="21"/>
              </w:rPr>
              <w:t>地表水</w:t>
            </w:r>
            <w:r>
              <w:rPr>
                <w:rFonts w:hint="eastAsia"/>
                <w:kern w:val="0"/>
                <w:sz w:val="21"/>
                <w:szCs w:val="21"/>
              </w:rPr>
              <w:t>省控及以上断面劣</w:t>
            </w:r>
            <w:r>
              <w:rPr>
                <w:rFonts w:hint="eastAsia" w:ascii="宋体" w:hAnsi="宋体" w:eastAsia="宋体"/>
                <w:kern w:val="0"/>
                <w:sz w:val="21"/>
                <w:szCs w:val="21"/>
              </w:rPr>
              <w:t>Ⅴ</w:t>
            </w:r>
            <w:r>
              <w:rPr>
                <w:rFonts w:hint="eastAsia"/>
                <w:kern w:val="0"/>
                <w:sz w:val="21"/>
                <w:szCs w:val="21"/>
              </w:rPr>
              <w:t>类水体比例</w:t>
            </w:r>
            <w:r>
              <w:rPr>
                <w:kern w:val="0"/>
                <w:sz w:val="21"/>
                <w:szCs w:val="21"/>
              </w:rPr>
              <w:t>（%）</w:t>
            </w:r>
          </w:p>
        </w:tc>
        <w:tc>
          <w:tcPr>
            <w:tcW w:w="555" w:type="pct"/>
            <w:shd w:val="clear" w:color="auto" w:fill="auto"/>
            <w:vAlign w:val="center"/>
          </w:tcPr>
          <w:p>
            <w:pPr>
              <w:widowControl/>
              <w:adjustRightInd w:val="0"/>
              <w:snapToGrid w:val="0"/>
              <w:spacing w:line="240" w:lineRule="auto"/>
              <w:ind w:firstLine="0" w:firstLineChars="0"/>
              <w:jc w:val="center"/>
              <w:rPr>
                <w:kern w:val="0"/>
                <w:sz w:val="21"/>
                <w:szCs w:val="21"/>
              </w:rPr>
            </w:pPr>
            <w:r>
              <w:rPr>
                <w:rFonts w:hint="eastAsia"/>
                <w:kern w:val="0"/>
                <w:sz w:val="21"/>
                <w:szCs w:val="21"/>
              </w:rPr>
              <w:t>——</w:t>
            </w:r>
          </w:p>
        </w:tc>
        <w:tc>
          <w:tcPr>
            <w:tcW w:w="503" w:type="pct"/>
            <w:shd w:val="clear" w:color="auto" w:fill="auto"/>
            <w:vAlign w:val="center"/>
          </w:tcPr>
          <w:p>
            <w:pPr>
              <w:widowControl/>
              <w:adjustRightInd w:val="0"/>
              <w:snapToGrid w:val="0"/>
              <w:spacing w:line="240" w:lineRule="auto"/>
              <w:ind w:firstLine="0" w:firstLineChars="0"/>
              <w:jc w:val="center"/>
              <w:rPr>
                <w:kern w:val="0"/>
                <w:sz w:val="21"/>
                <w:szCs w:val="21"/>
              </w:rPr>
            </w:pPr>
            <w:r>
              <w:rPr>
                <w:kern w:val="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477" w:type="pct"/>
            <w:vMerge w:val="continue"/>
            <w:shd w:val="clear" w:color="auto" w:fill="auto"/>
            <w:vAlign w:val="center"/>
          </w:tcPr>
          <w:p>
            <w:pPr>
              <w:widowControl/>
              <w:adjustRightInd w:val="0"/>
              <w:snapToGrid w:val="0"/>
              <w:spacing w:line="240" w:lineRule="auto"/>
              <w:ind w:firstLine="0" w:firstLineChars="0"/>
              <w:jc w:val="center"/>
              <w:rPr>
                <w:kern w:val="0"/>
                <w:sz w:val="21"/>
                <w:szCs w:val="21"/>
              </w:rPr>
            </w:pPr>
          </w:p>
        </w:tc>
        <w:tc>
          <w:tcPr>
            <w:tcW w:w="533" w:type="pct"/>
            <w:vMerge w:val="continue"/>
            <w:shd w:val="clear" w:color="auto" w:fill="auto"/>
            <w:vAlign w:val="center"/>
          </w:tcPr>
          <w:p>
            <w:pPr>
              <w:widowControl/>
              <w:adjustRightInd w:val="0"/>
              <w:snapToGrid w:val="0"/>
              <w:spacing w:line="240" w:lineRule="auto"/>
              <w:ind w:firstLine="0" w:firstLineChars="0"/>
              <w:rPr>
                <w:kern w:val="0"/>
                <w:sz w:val="21"/>
                <w:szCs w:val="21"/>
              </w:rPr>
            </w:pPr>
          </w:p>
        </w:tc>
        <w:tc>
          <w:tcPr>
            <w:tcW w:w="396" w:type="pct"/>
            <w:shd w:val="clear" w:color="auto" w:fill="auto"/>
            <w:vAlign w:val="center"/>
          </w:tcPr>
          <w:p>
            <w:pPr>
              <w:widowControl/>
              <w:adjustRightInd w:val="0"/>
              <w:snapToGrid w:val="0"/>
              <w:spacing w:line="240" w:lineRule="auto"/>
              <w:ind w:firstLine="0" w:firstLineChars="0"/>
              <w:jc w:val="center"/>
              <w:rPr>
                <w:kern w:val="0"/>
                <w:sz w:val="21"/>
                <w:szCs w:val="21"/>
              </w:rPr>
            </w:pPr>
            <w:r>
              <w:rPr>
                <w:rFonts w:hint="eastAsia"/>
                <w:kern w:val="0"/>
                <w:sz w:val="21"/>
                <w:szCs w:val="21"/>
              </w:rPr>
              <w:t>3</w:t>
            </w:r>
          </w:p>
        </w:tc>
        <w:tc>
          <w:tcPr>
            <w:tcW w:w="2535" w:type="pct"/>
            <w:shd w:val="clear" w:color="auto" w:fill="auto"/>
            <w:vAlign w:val="center"/>
          </w:tcPr>
          <w:p>
            <w:pPr>
              <w:widowControl/>
              <w:adjustRightInd w:val="0"/>
              <w:snapToGrid w:val="0"/>
              <w:spacing w:line="240" w:lineRule="auto"/>
              <w:ind w:firstLine="0" w:firstLineChars="0"/>
              <w:jc w:val="center"/>
              <w:rPr>
                <w:kern w:val="0"/>
                <w:sz w:val="21"/>
                <w:szCs w:val="21"/>
              </w:rPr>
            </w:pPr>
            <w:r>
              <w:rPr>
                <w:rFonts w:hint="eastAsia"/>
                <w:kern w:val="0"/>
                <w:sz w:val="21"/>
                <w:szCs w:val="21"/>
              </w:rPr>
              <w:t>城镇集中式饮用水水源达标比例（%）</w:t>
            </w:r>
          </w:p>
        </w:tc>
        <w:tc>
          <w:tcPr>
            <w:tcW w:w="555" w:type="pct"/>
            <w:shd w:val="clear" w:color="auto" w:fill="auto"/>
            <w:vAlign w:val="center"/>
          </w:tcPr>
          <w:p>
            <w:pPr>
              <w:widowControl/>
              <w:adjustRightInd w:val="0"/>
              <w:snapToGrid w:val="0"/>
              <w:spacing w:line="240" w:lineRule="auto"/>
              <w:ind w:firstLine="0" w:firstLineChars="0"/>
              <w:jc w:val="center"/>
              <w:rPr>
                <w:kern w:val="0"/>
                <w:sz w:val="21"/>
                <w:szCs w:val="21"/>
              </w:rPr>
            </w:pPr>
            <w:r>
              <w:rPr>
                <w:rFonts w:hint="eastAsia"/>
                <w:kern w:val="0"/>
                <w:sz w:val="21"/>
                <w:szCs w:val="21"/>
              </w:rPr>
              <w:t>1</w:t>
            </w:r>
            <w:r>
              <w:rPr>
                <w:kern w:val="0"/>
                <w:sz w:val="21"/>
                <w:szCs w:val="21"/>
              </w:rPr>
              <w:t>00</w:t>
            </w:r>
            <w:r>
              <w:rPr>
                <w:rFonts w:hint="eastAsia"/>
                <w:kern w:val="0"/>
                <w:sz w:val="21"/>
                <w:szCs w:val="21"/>
              </w:rPr>
              <w:t>%</w:t>
            </w:r>
          </w:p>
        </w:tc>
        <w:tc>
          <w:tcPr>
            <w:tcW w:w="503" w:type="pct"/>
            <w:shd w:val="clear" w:color="auto" w:fill="auto"/>
            <w:vAlign w:val="center"/>
          </w:tcPr>
          <w:p>
            <w:pPr>
              <w:widowControl/>
              <w:adjustRightInd w:val="0"/>
              <w:snapToGrid w:val="0"/>
              <w:spacing w:line="240" w:lineRule="auto"/>
              <w:ind w:firstLine="0" w:firstLineChars="0"/>
              <w:jc w:val="center"/>
              <w:rPr>
                <w:kern w:val="0"/>
                <w:sz w:val="21"/>
                <w:szCs w:val="21"/>
              </w:rPr>
            </w:pPr>
            <w:r>
              <w:rPr>
                <w:rFonts w:hint="eastAsia"/>
                <w:kern w:val="0"/>
                <w:sz w:val="21"/>
                <w:szCs w:val="21"/>
              </w:rPr>
              <w:t>1</w:t>
            </w:r>
            <w:r>
              <w:rPr>
                <w:kern w:val="0"/>
                <w:sz w:val="21"/>
                <w:szCs w:val="21"/>
              </w:rPr>
              <w:t>00</w:t>
            </w:r>
            <w:r>
              <w:rPr>
                <w:rFonts w:hint="eastAsia"/>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477" w:type="pct"/>
            <w:vMerge w:val="continue"/>
            <w:shd w:val="clear" w:color="auto" w:fill="auto"/>
            <w:vAlign w:val="center"/>
          </w:tcPr>
          <w:p>
            <w:pPr>
              <w:widowControl/>
              <w:adjustRightInd w:val="0"/>
              <w:snapToGrid w:val="0"/>
              <w:spacing w:line="240" w:lineRule="auto"/>
              <w:ind w:firstLine="0" w:firstLineChars="0"/>
              <w:jc w:val="center"/>
              <w:rPr>
                <w:kern w:val="0"/>
                <w:sz w:val="21"/>
                <w:szCs w:val="21"/>
              </w:rPr>
            </w:pPr>
          </w:p>
        </w:tc>
        <w:tc>
          <w:tcPr>
            <w:tcW w:w="533" w:type="pct"/>
            <w:shd w:val="clear" w:color="auto" w:fill="auto"/>
            <w:vAlign w:val="center"/>
          </w:tcPr>
          <w:p>
            <w:pPr>
              <w:widowControl/>
              <w:adjustRightInd w:val="0"/>
              <w:snapToGrid w:val="0"/>
              <w:spacing w:line="240" w:lineRule="auto"/>
              <w:ind w:firstLine="0" w:firstLineChars="0"/>
              <w:rPr>
                <w:kern w:val="0"/>
                <w:sz w:val="21"/>
                <w:szCs w:val="21"/>
              </w:rPr>
            </w:pPr>
            <w:r>
              <w:rPr>
                <w:kern w:val="0"/>
                <w:sz w:val="21"/>
                <w:szCs w:val="21"/>
              </w:rPr>
              <w:t>水资源</w:t>
            </w:r>
          </w:p>
        </w:tc>
        <w:tc>
          <w:tcPr>
            <w:tcW w:w="396" w:type="pct"/>
            <w:shd w:val="clear" w:color="auto" w:fill="auto"/>
            <w:vAlign w:val="center"/>
          </w:tcPr>
          <w:p>
            <w:pPr>
              <w:widowControl/>
              <w:adjustRightInd w:val="0"/>
              <w:snapToGrid w:val="0"/>
              <w:spacing w:line="240" w:lineRule="auto"/>
              <w:ind w:firstLine="0" w:firstLineChars="0"/>
              <w:jc w:val="center"/>
              <w:rPr>
                <w:kern w:val="0"/>
                <w:sz w:val="21"/>
                <w:szCs w:val="21"/>
              </w:rPr>
            </w:pPr>
            <w:r>
              <w:rPr>
                <w:kern w:val="0"/>
                <w:sz w:val="21"/>
                <w:szCs w:val="21"/>
              </w:rPr>
              <w:t>4</w:t>
            </w:r>
          </w:p>
        </w:tc>
        <w:tc>
          <w:tcPr>
            <w:tcW w:w="2535" w:type="pct"/>
            <w:shd w:val="clear" w:color="auto" w:fill="auto"/>
            <w:vAlign w:val="center"/>
          </w:tcPr>
          <w:p>
            <w:pPr>
              <w:widowControl/>
              <w:adjustRightInd w:val="0"/>
              <w:snapToGrid w:val="0"/>
              <w:spacing w:line="240" w:lineRule="auto"/>
              <w:ind w:firstLine="0" w:firstLineChars="0"/>
              <w:rPr>
                <w:kern w:val="0"/>
                <w:sz w:val="21"/>
                <w:szCs w:val="21"/>
              </w:rPr>
            </w:pPr>
            <w:r>
              <w:rPr>
                <w:kern w:val="0"/>
                <w:sz w:val="21"/>
                <w:szCs w:val="21"/>
              </w:rPr>
              <w:t>达到生态流量（水位）底线要求的河湖数量（个</w:t>
            </w:r>
            <w:r>
              <w:rPr>
                <w:rFonts w:hint="eastAsia"/>
                <w:kern w:val="0"/>
                <w:sz w:val="21"/>
                <w:szCs w:val="21"/>
              </w:rPr>
              <w:t>）</w:t>
            </w:r>
          </w:p>
        </w:tc>
        <w:tc>
          <w:tcPr>
            <w:tcW w:w="555" w:type="pct"/>
            <w:shd w:val="clear" w:color="auto" w:fill="auto"/>
            <w:vAlign w:val="center"/>
          </w:tcPr>
          <w:p>
            <w:pPr>
              <w:widowControl/>
              <w:adjustRightInd w:val="0"/>
              <w:snapToGrid w:val="0"/>
              <w:spacing w:line="240" w:lineRule="auto"/>
              <w:ind w:firstLine="0" w:firstLineChars="0"/>
              <w:jc w:val="center"/>
              <w:rPr>
                <w:kern w:val="0"/>
                <w:sz w:val="21"/>
                <w:szCs w:val="21"/>
              </w:rPr>
            </w:pPr>
            <w:r>
              <w:rPr>
                <w:kern w:val="0"/>
                <w:sz w:val="21"/>
                <w:szCs w:val="21"/>
              </w:rPr>
              <w:t>0</w:t>
            </w:r>
          </w:p>
        </w:tc>
        <w:tc>
          <w:tcPr>
            <w:tcW w:w="503" w:type="pct"/>
            <w:shd w:val="clear" w:color="auto" w:fill="auto"/>
            <w:vAlign w:val="center"/>
          </w:tcPr>
          <w:p>
            <w:pPr>
              <w:widowControl/>
              <w:adjustRightInd w:val="0"/>
              <w:snapToGrid w:val="0"/>
              <w:spacing w:line="240" w:lineRule="auto"/>
              <w:ind w:firstLine="0" w:firstLineChars="0"/>
              <w:jc w:val="center"/>
              <w:rPr>
                <w:kern w:val="0"/>
                <w:sz w:val="21"/>
                <w:szCs w:val="21"/>
              </w:rPr>
            </w:pPr>
            <w:r>
              <w:rPr>
                <w:kern w:val="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477" w:type="pct"/>
            <w:vMerge w:val="continue"/>
            <w:shd w:val="clear" w:color="auto" w:fill="auto"/>
            <w:vAlign w:val="center"/>
          </w:tcPr>
          <w:p>
            <w:pPr>
              <w:widowControl/>
              <w:adjustRightInd w:val="0"/>
              <w:snapToGrid w:val="0"/>
              <w:spacing w:line="240" w:lineRule="auto"/>
              <w:ind w:firstLine="0" w:firstLineChars="0"/>
              <w:jc w:val="center"/>
              <w:rPr>
                <w:kern w:val="0"/>
                <w:sz w:val="21"/>
                <w:szCs w:val="21"/>
              </w:rPr>
            </w:pPr>
          </w:p>
        </w:tc>
        <w:tc>
          <w:tcPr>
            <w:tcW w:w="533" w:type="pct"/>
            <w:shd w:val="clear" w:color="auto" w:fill="auto"/>
            <w:vAlign w:val="center"/>
          </w:tcPr>
          <w:p>
            <w:pPr>
              <w:widowControl/>
              <w:adjustRightInd w:val="0"/>
              <w:snapToGrid w:val="0"/>
              <w:spacing w:line="240" w:lineRule="auto"/>
              <w:ind w:firstLine="0" w:firstLineChars="0"/>
              <w:rPr>
                <w:kern w:val="0"/>
                <w:sz w:val="21"/>
                <w:szCs w:val="21"/>
              </w:rPr>
            </w:pPr>
            <w:r>
              <w:rPr>
                <w:rFonts w:hint="eastAsia"/>
                <w:kern w:val="0"/>
                <w:sz w:val="21"/>
                <w:szCs w:val="21"/>
              </w:rPr>
              <w:t>水生态</w:t>
            </w:r>
          </w:p>
        </w:tc>
        <w:tc>
          <w:tcPr>
            <w:tcW w:w="396" w:type="pct"/>
            <w:shd w:val="clear" w:color="auto" w:fill="auto"/>
            <w:vAlign w:val="center"/>
          </w:tcPr>
          <w:p>
            <w:pPr>
              <w:widowControl/>
              <w:adjustRightInd w:val="0"/>
              <w:snapToGrid w:val="0"/>
              <w:spacing w:line="240" w:lineRule="auto"/>
              <w:ind w:firstLine="0" w:firstLineChars="0"/>
              <w:jc w:val="center"/>
              <w:rPr>
                <w:kern w:val="0"/>
                <w:sz w:val="21"/>
                <w:szCs w:val="21"/>
              </w:rPr>
            </w:pPr>
            <w:r>
              <w:rPr>
                <w:kern w:val="0"/>
                <w:sz w:val="21"/>
                <w:szCs w:val="21"/>
              </w:rPr>
              <w:t>5</w:t>
            </w:r>
          </w:p>
        </w:tc>
        <w:tc>
          <w:tcPr>
            <w:tcW w:w="2535" w:type="pct"/>
            <w:shd w:val="clear" w:color="auto" w:fill="auto"/>
            <w:vAlign w:val="center"/>
          </w:tcPr>
          <w:p>
            <w:pPr>
              <w:widowControl/>
              <w:adjustRightInd w:val="0"/>
              <w:snapToGrid w:val="0"/>
              <w:spacing w:line="240" w:lineRule="auto"/>
              <w:ind w:firstLine="0" w:firstLineChars="0"/>
              <w:jc w:val="center"/>
              <w:rPr>
                <w:kern w:val="0"/>
                <w:sz w:val="21"/>
                <w:szCs w:val="21"/>
              </w:rPr>
            </w:pPr>
            <w:r>
              <w:rPr>
                <w:rFonts w:hint="eastAsia"/>
                <w:kern w:val="0"/>
                <w:sz w:val="21"/>
                <w:szCs w:val="21"/>
              </w:rPr>
              <w:t>水生生物完整性指数</w:t>
            </w:r>
          </w:p>
        </w:tc>
        <w:tc>
          <w:tcPr>
            <w:tcW w:w="555" w:type="pct"/>
            <w:shd w:val="clear" w:color="auto" w:fill="auto"/>
            <w:vAlign w:val="center"/>
          </w:tcPr>
          <w:p>
            <w:pPr>
              <w:widowControl/>
              <w:adjustRightInd w:val="0"/>
              <w:snapToGrid w:val="0"/>
              <w:spacing w:line="240" w:lineRule="auto"/>
              <w:ind w:firstLine="0" w:firstLineChars="0"/>
              <w:jc w:val="center"/>
              <w:rPr>
                <w:kern w:val="0"/>
                <w:sz w:val="21"/>
                <w:szCs w:val="21"/>
              </w:rPr>
            </w:pPr>
            <w:r>
              <w:rPr>
                <w:rFonts w:hint="eastAsia"/>
                <w:kern w:val="0"/>
                <w:sz w:val="21"/>
                <w:szCs w:val="21"/>
              </w:rPr>
              <w:t>——</w:t>
            </w:r>
          </w:p>
        </w:tc>
        <w:tc>
          <w:tcPr>
            <w:tcW w:w="503" w:type="pct"/>
            <w:shd w:val="clear" w:color="auto" w:fill="auto"/>
            <w:vAlign w:val="center"/>
          </w:tcPr>
          <w:p>
            <w:pPr>
              <w:widowControl/>
              <w:adjustRightInd w:val="0"/>
              <w:snapToGrid w:val="0"/>
              <w:spacing w:line="240" w:lineRule="auto"/>
              <w:ind w:firstLine="0" w:firstLineChars="0"/>
              <w:jc w:val="center"/>
              <w:rPr>
                <w:kern w:val="0"/>
                <w:sz w:val="21"/>
                <w:szCs w:val="21"/>
              </w:rPr>
            </w:pPr>
            <w:r>
              <w:rPr>
                <w:rFonts w:hint="eastAsia"/>
                <w:kern w:val="0"/>
                <w:sz w:val="21"/>
                <w:szCs w:val="21"/>
              </w:rPr>
              <w:t>持续改善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477" w:type="pct"/>
            <w:vMerge w:val="restart"/>
            <w:shd w:val="clear" w:color="auto" w:fill="auto"/>
            <w:vAlign w:val="center"/>
          </w:tcPr>
          <w:p>
            <w:pPr>
              <w:widowControl/>
              <w:adjustRightInd w:val="0"/>
              <w:snapToGrid w:val="0"/>
              <w:spacing w:line="240" w:lineRule="auto"/>
              <w:ind w:firstLine="0" w:firstLineChars="0"/>
              <w:jc w:val="center"/>
              <w:rPr>
                <w:kern w:val="0"/>
                <w:sz w:val="21"/>
                <w:szCs w:val="21"/>
              </w:rPr>
            </w:pPr>
            <w:r>
              <w:rPr>
                <w:rFonts w:hint="eastAsia"/>
                <w:kern w:val="0"/>
                <w:sz w:val="21"/>
                <w:szCs w:val="21"/>
              </w:rPr>
              <w:t>亲民性指标</w:t>
            </w:r>
          </w:p>
        </w:tc>
        <w:tc>
          <w:tcPr>
            <w:tcW w:w="533" w:type="pct"/>
            <w:shd w:val="clear" w:color="auto" w:fill="auto"/>
            <w:vAlign w:val="center"/>
          </w:tcPr>
          <w:p>
            <w:pPr>
              <w:widowControl/>
              <w:adjustRightInd w:val="0"/>
              <w:snapToGrid w:val="0"/>
              <w:spacing w:line="240" w:lineRule="auto"/>
              <w:ind w:firstLine="0" w:firstLineChars="0"/>
              <w:jc w:val="center"/>
              <w:rPr>
                <w:kern w:val="0"/>
                <w:sz w:val="21"/>
                <w:szCs w:val="21"/>
              </w:rPr>
            </w:pPr>
            <w:r>
              <w:rPr>
                <w:kern w:val="0"/>
                <w:sz w:val="21"/>
                <w:szCs w:val="21"/>
              </w:rPr>
              <w:t>水环境</w:t>
            </w:r>
          </w:p>
        </w:tc>
        <w:tc>
          <w:tcPr>
            <w:tcW w:w="396" w:type="pct"/>
            <w:shd w:val="clear" w:color="auto" w:fill="auto"/>
            <w:vAlign w:val="center"/>
          </w:tcPr>
          <w:p>
            <w:pPr>
              <w:widowControl/>
              <w:adjustRightInd w:val="0"/>
              <w:snapToGrid w:val="0"/>
              <w:spacing w:line="240" w:lineRule="auto"/>
              <w:ind w:firstLine="0" w:firstLineChars="0"/>
              <w:jc w:val="center"/>
              <w:rPr>
                <w:kern w:val="0"/>
                <w:sz w:val="21"/>
                <w:szCs w:val="21"/>
              </w:rPr>
            </w:pPr>
            <w:r>
              <w:rPr>
                <w:kern w:val="0"/>
                <w:sz w:val="21"/>
                <w:szCs w:val="21"/>
              </w:rPr>
              <w:t>1</w:t>
            </w:r>
          </w:p>
        </w:tc>
        <w:tc>
          <w:tcPr>
            <w:tcW w:w="2535" w:type="pct"/>
            <w:shd w:val="clear" w:color="auto" w:fill="auto"/>
            <w:vAlign w:val="center"/>
          </w:tcPr>
          <w:p>
            <w:pPr>
              <w:widowControl/>
              <w:adjustRightInd w:val="0"/>
              <w:snapToGrid w:val="0"/>
              <w:spacing w:line="240" w:lineRule="auto"/>
              <w:ind w:firstLine="0" w:firstLineChars="0"/>
              <w:jc w:val="center"/>
              <w:rPr>
                <w:kern w:val="0"/>
                <w:sz w:val="21"/>
                <w:szCs w:val="21"/>
              </w:rPr>
            </w:pPr>
            <w:r>
              <w:rPr>
                <w:kern w:val="0"/>
                <w:sz w:val="21"/>
                <w:szCs w:val="21"/>
              </w:rPr>
              <w:t>城市建成区黑臭水体控制比例（%）</w:t>
            </w:r>
          </w:p>
        </w:tc>
        <w:tc>
          <w:tcPr>
            <w:tcW w:w="555" w:type="pct"/>
            <w:shd w:val="clear" w:color="auto" w:fill="auto"/>
            <w:vAlign w:val="center"/>
          </w:tcPr>
          <w:p>
            <w:pPr>
              <w:widowControl/>
              <w:adjustRightInd w:val="0"/>
              <w:snapToGrid w:val="0"/>
              <w:spacing w:line="240" w:lineRule="auto"/>
              <w:ind w:firstLine="0" w:firstLineChars="0"/>
              <w:jc w:val="center"/>
              <w:rPr>
                <w:kern w:val="0"/>
                <w:sz w:val="21"/>
                <w:szCs w:val="21"/>
              </w:rPr>
            </w:pPr>
            <w:r>
              <w:rPr>
                <w:kern w:val="0"/>
                <w:sz w:val="21"/>
                <w:szCs w:val="21"/>
              </w:rPr>
              <w:t>0%</w:t>
            </w:r>
          </w:p>
        </w:tc>
        <w:tc>
          <w:tcPr>
            <w:tcW w:w="503" w:type="pct"/>
            <w:shd w:val="clear" w:color="auto" w:fill="auto"/>
            <w:vAlign w:val="center"/>
          </w:tcPr>
          <w:p>
            <w:pPr>
              <w:widowControl/>
              <w:adjustRightInd w:val="0"/>
              <w:snapToGrid w:val="0"/>
              <w:spacing w:line="240" w:lineRule="auto"/>
              <w:ind w:firstLine="0" w:firstLineChars="0"/>
              <w:jc w:val="center"/>
              <w:rPr>
                <w:kern w:val="0"/>
                <w:sz w:val="21"/>
                <w:szCs w:val="21"/>
              </w:rPr>
            </w:pPr>
            <w:r>
              <w:rPr>
                <w:kern w:val="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477" w:type="pct"/>
            <w:vMerge w:val="continue"/>
            <w:shd w:val="clear" w:color="auto" w:fill="auto"/>
            <w:vAlign w:val="center"/>
          </w:tcPr>
          <w:p>
            <w:pPr>
              <w:widowControl/>
              <w:adjustRightInd w:val="0"/>
              <w:snapToGrid w:val="0"/>
              <w:spacing w:line="240" w:lineRule="auto"/>
              <w:ind w:firstLine="0" w:firstLineChars="0"/>
              <w:jc w:val="center"/>
              <w:rPr>
                <w:kern w:val="0"/>
                <w:sz w:val="21"/>
                <w:szCs w:val="21"/>
              </w:rPr>
            </w:pPr>
          </w:p>
        </w:tc>
        <w:tc>
          <w:tcPr>
            <w:tcW w:w="533" w:type="pct"/>
            <w:shd w:val="clear" w:color="auto" w:fill="auto"/>
            <w:vAlign w:val="center"/>
          </w:tcPr>
          <w:p>
            <w:pPr>
              <w:widowControl/>
              <w:adjustRightInd w:val="0"/>
              <w:snapToGrid w:val="0"/>
              <w:spacing w:line="240" w:lineRule="auto"/>
              <w:ind w:firstLine="0" w:firstLineChars="0"/>
              <w:jc w:val="center"/>
              <w:rPr>
                <w:kern w:val="0"/>
                <w:sz w:val="21"/>
                <w:szCs w:val="21"/>
              </w:rPr>
            </w:pPr>
            <w:r>
              <w:rPr>
                <w:kern w:val="0"/>
                <w:sz w:val="21"/>
                <w:szCs w:val="21"/>
              </w:rPr>
              <w:t>水资源</w:t>
            </w:r>
          </w:p>
        </w:tc>
        <w:tc>
          <w:tcPr>
            <w:tcW w:w="396" w:type="pct"/>
            <w:shd w:val="clear" w:color="auto" w:fill="auto"/>
            <w:vAlign w:val="center"/>
          </w:tcPr>
          <w:p>
            <w:pPr>
              <w:widowControl/>
              <w:adjustRightInd w:val="0"/>
              <w:snapToGrid w:val="0"/>
              <w:spacing w:line="240" w:lineRule="auto"/>
              <w:ind w:firstLine="0" w:firstLineChars="0"/>
              <w:jc w:val="center"/>
              <w:rPr>
                <w:kern w:val="0"/>
                <w:sz w:val="21"/>
                <w:szCs w:val="21"/>
              </w:rPr>
            </w:pPr>
            <w:r>
              <w:rPr>
                <w:kern w:val="0"/>
                <w:sz w:val="21"/>
                <w:szCs w:val="21"/>
              </w:rPr>
              <w:t>2</w:t>
            </w:r>
          </w:p>
        </w:tc>
        <w:tc>
          <w:tcPr>
            <w:tcW w:w="2535" w:type="pct"/>
            <w:shd w:val="clear" w:color="auto" w:fill="auto"/>
            <w:vAlign w:val="center"/>
          </w:tcPr>
          <w:p>
            <w:pPr>
              <w:widowControl/>
              <w:adjustRightInd w:val="0"/>
              <w:snapToGrid w:val="0"/>
              <w:spacing w:line="240" w:lineRule="auto"/>
              <w:ind w:firstLine="0" w:firstLineChars="0"/>
              <w:jc w:val="center"/>
              <w:rPr>
                <w:kern w:val="0"/>
                <w:sz w:val="21"/>
                <w:szCs w:val="21"/>
              </w:rPr>
            </w:pPr>
            <w:r>
              <w:rPr>
                <w:kern w:val="0"/>
                <w:sz w:val="21"/>
                <w:szCs w:val="21"/>
              </w:rPr>
              <w:t>恢复“有水”的河流数量</w:t>
            </w:r>
          </w:p>
        </w:tc>
        <w:tc>
          <w:tcPr>
            <w:tcW w:w="555" w:type="pct"/>
            <w:shd w:val="clear" w:color="auto" w:fill="auto"/>
            <w:vAlign w:val="center"/>
          </w:tcPr>
          <w:p>
            <w:pPr>
              <w:widowControl/>
              <w:adjustRightInd w:val="0"/>
              <w:snapToGrid w:val="0"/>
              <w:spacing w:line="240" w:lineRule="auto"/>
              <w:ind w:firstLine="0" w:firstLineChars="0"/>
              <w:jc w:val="center"/>
              <w:rPr>
                <w:kern w:val="0"/>
                <w:sz w:val="21"/>
                <w:szCs w:val="21"/>
              </w:rPr>
            </w:pPr>
            <w:r>
              <w:rPr>
                <w:kern w:val="0"/>
                <w:sz w:val="21"/>
                <w:szCs w:val="21"/>
              </w:rPr>
              <w:t>0</w:t>
            </w:r>
          </w:p>
        </w:tc>
        <w:tc>
          <w:tcPr>
            <w:tcW w:w="503" w:type="pct"/>
            <w:shd w:val="clear" w:color="auto" w:fill="auto"/>
            <w:vAlign w:val="center"/>
          </w:tcPr>
          <w:p>
            <w:pPr>
              <w:widowControl/>
              <w:adjustRightInd w:val="0"/>
              <w:snapToGrid w:val="0"/>
              <w:spacing w:line="240" w:lineRule="auto"/>
              <w:ind w:firstLine="0" w:firstLineChars="0"/>
              <w:jc w:val="center"/>
              <w:rPr>
                <w:kern w:val="0"/>
                <w:sz w:val="21"/>
                <w:szCs w:val="21"/>
              </w:rPr>
            </w:pPr>
            <w:r>
              <w:rPr>
                <w:kern w:val="0"/>
                <w:sz w:val="21"/>
                <w:szCs w:val="21"/>
              </w:rPr>
              <w:t>2</w:t>
            </w:r>
          </w:p>
        </w:tc>
      </w:tr>
    </w:tbl>
    <w:p>
      <w:pPr>
        <w:widowControl/>
        <w:ind w:firstLine="480"/>
        <w:jc w:val="left"/>
        <w:rPr>
          <w:rFonts w:cs="Times New Roman"/>
          <w:b/>
          <w:bCs/>
          <w:sz w:val="24"/>
          <w:szCs w:val="24"/>
        </w:rPr>
      </w:pPr>
      <w:r>
        <w:rPr>
          <w:rFonts w:hint="eastAsia" w:cs="Times New Roman"/>
          <w:sz w:val="24"/>
          <w:szCs w:val="24"/>
        </w:rPr>
        <w:t>备注：——表示无数据</w:t>
      </w:r>
    </w:p>
    <w:p>
      <w:pPr>
        <w:ind w:firstLine="640"/>
        <w:rPr>
          <w:rFonts w:ascii="黑体" w:hAnsi="黑体" w:eastAsia="黑体"/>
        </w:rPr>
      </w:pPr>
      <w:bookmarkStart w:id="74" w:name="_Toc122990808"/>
      <w:bookmarkStart w:id="75" w:name="_Hlk60842556"/>
      <w:r>
        <w:rPr>
          <w:rFonts w:hint="eastAsia" w:ascii="黑体" w:hAnsi="黑体" w:eastAsia="黑体"/>
        </w:rPr>
        <w:t>三、规划任务要求</w:t>
      </w:r>
      <w:bookmarkEnd w:id="74"/>
    </w:p>
    <w:p>
      <w:pPr>
        <w:ind w:firstLine="640"/>
        <w:rPr>
          <w:rFonts w:ascii="楷体_GB2312" w:eastAsia="楷体_GB2312"/>
        </w:rPr>
      </w:pPr>
      <w:bookmarkStart w:id="76" w:name="_Toc122898374"/>
      <w:bookmarkStart w:id="77" w:name="_Toc122990809"/>
      <w:r>
        <w:rPr>
          <w:rFonts w:hint="eastAsia" w:ascii="楷体_GB2312" w:eastAsia="楷体_GB2312"/>
        </w:rPr>
        <w:t>（一）持续推进污染防治</w:t>
      </w:r>
      <w:bookmarkEnd w:id="76"/>
      <w:bookmarkEnd w:id="77"/>
      <w:r>
        <w:rPr>
          <w:rFonts w:hint="eastAsia" w:ascii="楷体_GB2312" w:eastAsia="楷体_GB2312"/>
        </w:rPr>
        <w:t>。</w:t>
      </w:r>
    </w:p>
    <w:p>
      <w:pPr>
        <w:ind w:firstLine="640"/>
        <w:rPr>
          <w:rFonts w:ascii="仿宋_GB2312"/>
        </w:rPr>
      </w:pPr>
      <w:bookmarkStart w:id="78" w:name="_Toc122898375"/>
      <w:bookmarkStart w:id="79" w:name="_Toc122990810"/>
      <w:bookmarkStart w:id="80" w:name="_Toc122898420"/>
      <w:r>
        <w:rPr>
          <w:rFonts w:hint="eastAsia" w:ascii="仿宋_GB2312"/>
        </w:rPr>
        <w:t>1. 持续深入推进工业污染减排</w:t>
      </w:r>
      <w:bookmarkEnd w:id="78"/>
      <w:bookmarkEnd w:id="79"/>
      <w:bookmarkEnd w:id="80"/>
      <w:r>
        <w:rPr>
          <w:rFonts w:hint="eastAsia" w:ascii="仿宋_GB2312"/>
        </w:rPr>
        <w:t>。</w:t>
      </w:r>
      <w:r>
        <w:rPr>
          <w:rFonts w:hint="eastAsia" w:ascii="仿宋_GB2312" w:hAnsi="楷体"/>
        </w:rPr>
        <w:t>加大工业污染防治力度。</w:t>
      </w:r>
      <w:r>
        <w:rPr>
          <w:rFonts w:hint="eastAsia" w:ascii="仿宋_GB2312"/>
        </w:rPr>
        <w:t>严格环境准入，落实“三线一单”，严格执行环境影响评价制度；严格执行流域水污染物综合排放标准，确保工业污染源全面达标排放。强化纳管企业监管，严格落实城镇污水管网许可管理办法，建立完善排水档案，重点排水单位排放口建成水质、水量检测设施，加强纳管企业污水预处理设施监管。</w:t>
      </w:r>
    </w:p>
    <w:p>
      <w:pPr>
        <w:ind w:firstLine="640"/>
        <w:rPr>
          <w:rFonts w:ascii="仿宋_GB2312"/>
        </w:rPr>
      </w:pPr>
      <w:r>
        <w:rPr>
          <w:rFonts w:hint="eastAsia" w:ascii="仿宋_GB2312"/>
        </w:rPr>
        <w:t>依法办理企业排污口审批工作。对于新建、改建、扩建的入河排污口，严格依法办理入河排污口设置审批手续。进一步完善入河排污口监管制度，建立健全督查核查、日常监督检查机制，监管资料要纳入档案，及时掌握入河排污口设置及监管动态，落实入河排污口设置、变更、检查核查、监测、通报、处罚、台账等全过程管理要求。</w:t>
      </w:r>
    </w:p>
    <w:p>
      <w:pPr>
        <w:ind w:firstLine="640"/>
        <w:rPr>
          <w:rFonts w:ascii="仿宋_GB2312"/>
        </w:rPr>
      </w:pPr>
      <w:bookmarkStart w:id="81" w:name="_Toc122898376"/>
      <w:bookmarkStart w:id="82" w:name="_Toc122898421"/>
      <w:bookmarkStart w:id="83" w:name="_Toc122990811"/>
      <w:r>
        <w:rPr>
          <w:rFonts w:hint="eastAsia" w:ascii="仿宋_GB2312"/>
        </w:rPr>
        <w:t>2. 推进城镇雨污管网</w:t>
      </w:r>
      <w:bookmarkEnd w:id="81"/>
      <w:bookmarkEnd w:id="82"/>
      <w:r>
        <w:rPr>
          <w:rFonts w:hint="eastAsia" w:ascii="仿宋_GB2312"/>
        </w:rPr>
        <w:t>分流改造与维护</w:t>
      </w:r>
      <w:bookmarkEnd w:id="83"/>
      <w:r>
        <w:rPr>
          <w:rFonts w:hint="eastAsia" w:ascii="仿宋_GB2312"/>
        </w:rPr>
        <w:t>。加快解决城区污水管道升级与维护。全面开展排水设施排查，健全管道等排水设施周期性检测制度，加大污水收集设施养护管理工作，尤其是加大老龄管道维护、修复和更换力度，按照从污水主干管逐步向次干管、支管延伸的实施步骤，织密城区薄弱区域和东部新开发区域污水管网，完成历山路、明湖路、和平路、经十路（东路）、舜耕路、泺源大街、趵突泉南路、趵突泉北路等主管网清淤检测修复，实现污水闭管运行畅通。对老龙沟、中井洪沟、羊头峪东沟等河河流棚盖河段进行检测，对检测中发现的挡墙破损、河底破损进行修复，消除安全隐患；对棚盖下生活污水排放口、渗漏点进行整治，杜绝污水直排河道。</w:t>
      </w:r>
    </w:p>
    <w:p>
      <w:pPr>
        <w:ind w:firstLine="640"/>
        <w:rPr>
          <w:rFonts w:ascii="仿宋_GB2312"/>
        </w:rPr>
      </w:pPr>
      <w:r>
        <w:rPr>
          <w:rFonts w:hint="eastAsia" w:ascii="仿宋_GB2312"/>
        </w:rPr>
        <w:t>加快实施城区管网雨污分流改造。配合市城乡水务局完成辖区内雨污分流及城市内涝治理工程，推进下区千佛山片区雨污分流工程，完成千佛山片区等地雨污分流改造，推进城市道路雨污管网改造、清淤检测。推进历下区黄台营院-历园新村片区混接点雨污分流改造工程实施，加强雨污水管网问题诊断，对雨污水错接、乱接进行重点整治。推进历园片区、历山路以西片区等小区、院落雨污分流改造。</w:t>
      </w:r>
    </w:p>
    <w:p>
      <w:pPr>
        <w:ind w:firstLine="640"/>
        <w:rPr>
          <w:rFonts w:ascii="仿宋_GB2312"/>
        </w:rPr>
      </w:pPr>
      <w:bookmarkStart w:id="84" w:name="_Toc122898422"/>
      <w:bookmarkStart w:id="85" w:name="_Toc122990812"/>
      <w:bookmarkStart w:id="86" w:name="_Toc122898377"/>
      <w:r>
        <w:rPr>
          <w:rFonts w:hint="eastAsia" w:ascii="仿宋_GB2312"/>
        </w:rPr>
        <w:t>3. 城镇面源污染防治</w:t>
      </w:r>
      <w:bookmarkEnd w:id="84"/>
      <w:bookmarkEnd w:id="85"/>
      <w:bookmarkEnd w:id="86"/>
      <w:r>
        <w:rPr>
          <w:rFonts w:hint="eastAsia" w:ascii="仿宋_GB2312"/>
        </w:rPr>
        <w:t>。启动汛前河湖水质超标隐患排查整治活动，实施城市雨污水管网清掏，提升城镇污水处理设施应急处理能力。优化道路保洁车辆作业方式，禁止道路保洁车辆将收集水直排雨水管网和河道等区域。加强垃圾中转设施渗滤液规范化处置，积极推进建设道路洗扫车沉淀池建设，形成效果明显的面源污染治理方式。严厉打击向河道、雨水管网非法倾倒生活污水、工业废水和危险废物行为。严禁沿街商铺将泔水、垃圾倾倒进入雨水管网。</w:t>
      </w:r>
    </w:p>
    <w:p>
      <w:pPr>
        <w:spacing w:line="580" w:lineRule="exact"/>
        <w:ind w:firstLine="640"/>
        <w:rPr>
          <w:rFonts w:ascii="仿宋_GB2312"/>
        </w:rPr>
      </w:pPr>
      <w:bookmarkStart w:id="87" w:name="_Toc122898378"/>
      <w:bookmarkStart w:id="88" w:name="_Toc122898423"/>
      <w:bookmarkStart w:id="89" w:name="_Toc122990813"/>
      <w:r>
        <w:rPr>
          <w:rFonts w:hint="eastAsia" w:ascii="仿宋_GB2312"/>
        </w:rPr>
        <w:t>4.</w:t>
      </w:r>
      <w:bookmarkEnd w:id="87"/>
      <w:bookmarkEnd w:id="88"/>
      <w:r>
        <w:rPr>
          <w:rFonts w:hint="eastAsia" w:ascii="仿宋_GB2312"/>
        </w:rPr>
        <w:t xml:space="preserve"> 加强入河排污口监督管理工作</w:t>
      </w:r>
      <w:bookmarkEnd w:id="89"/>
      <w:r>
        <w:rPr>
          <w:rFonts w:hint="eastAsia" w:ascii="仿宋_GB2312"/>
        </w:rPr>
        <w:t>。</w:t>
      </w:r>
      <w:r>
        <w:rPr>
          <w:rFonts w:hint="eastAsia" w:ascii="仿宋_GB2312" w:cs="Times New Roman"/>
        </w:rPr>
        <w:t>开展排污口排查溯源与整治工作。</w:t>
      </w:r>
      <w:r>
        <w:rPr>
          <w:rFonts w:hint="eastAsia" w:ascii="仿宋_GB2312"/>
          <w:color w:val="000000" w:themeColor="text1"/>
          <w14:textFill>
            <w14:solidFill>
              <w14:schemeClr w14:val="tx1"/>
            </w14:solidFill>
          </w14:textFill>
        </w:rPr>
        <w:t>深入开展入河排污口精准溯源，按照“取缔一批、合并一批、规范一批”要求，制定“一口一策”入河排污口整治方案，以截污治污为重点，制定“一口一策”入河排污口整治方案，依法取缔非法排污口，开展入河排污口规范化整治。</w:t>
      </w:r>
    </w:p>
    <w:p>
      <w:pPr>
        <w:spacing w:line="580" w:lineRule="exact"/>
        <w:ind w:firstLine="640"/>
        <w:rPr>
          <w:rFonts w:ascii="仿宋_GB2312"/>
        </w:rPr>
      </w:pPr>
      <w:r>
        <w:rPr>
          <w:rFonts w:hint="eastAsia" w:ascii="仿宋_GB2312" w:cs="Times New Roman"/>
        </w:rPr>
        <w:t>严格排污口的监督管理。根据排污口类型、责任主体及部门职责等，落实排污口监督管理责任，通过核发排污许可证等措施，依法明确排污口责任主体自行监测、信息公开等要求。按照“双随机、一公开”原则，对工业、城镇污水处理厂排污口开展监测，水生态环境质量较差的地方适当加大监测频次。加大排污口环境执法力度，对违反法律法规规定设置排污口或不按规定排污的，依法予以处罚；对私设暗管接入他人排污口等逃避监督管理借道排污的，溯源确定责任主体，依法予以严厉查处。</w:t>
      </w:r>
    </w:p>
    <w:p>
      <w:pPr>
        <w:spacing w:line="580" w:lineRule="exact"/>
        <w:ind w:firstLine="640"/>
        <w:rPr>
          <w:rFonts w:ascii="楷体_GB2312" w:eastAsia="楷体_GB2312"/>
        </w:rPr>
      </w:pPr>
      <w:bookmarkStart w:id="90" w:name="_Toc122898379"/>
      <w:bookmarkStart w:id="91" w:name="_Toc122990814"/>
      <w:r>
        <w:rPr>
          <w:rFonts w:hint="eastAsia" w:ascii="楷体_GB2312" w:eastAsia="楷体_GB2312"/>
        </w:rPr>
        <w:t>（二）</w:t>
      </w:r>
      <w:bookmarkEnd w:id="90"/>
      <w:r>
        <w:rPr>
          <w:rFonts w:hint="eastAsia" w:ascii="楷体_GB2312" w:eastAsia="楷体_GB2312"/>
        </w:rPr>
        <w:t>加强饮用水水源地保护</w:t>
      </w:r>
      <w:bookmarkEnd w:id="91"/>
      <w:r>
        <w:rPr>
          <w:rFonts w:hint="eastAsia" w:ascii="楷体_GB2312" w:eastAsia="楷体_GB2312"/>
        </w:rPr>
        <w:t>。</w:t>
      </w:r>
      <w:r>
        <w:rPr>
          <w:rFonts w:hint="eastAsia" w:ascii="仿宋_GB2312"/>
        </w:rPr>
        <w:t>加强饮用水水源地监督与管理。继续加强对东源水源地、泉城路水源地、羊头峪水源地、历南水源地与解放桥水源地的监督与管理，全面排查饮用水源地保护区风险隐患，严厉打击、坚决查处威胁水质安全的违法行为。</w:t>
      </w:r>
    </w:p>
    <w:p>
      <w:pPr>
        <w:spacing w:line="580" w:lineRule="exact"/>
        <w:ind w:firstLine="640"/>
        <w:rPr>
          <w:rFonts w:ascii="仿宋_GB2312" w:cs="Times New Roman"/>
        </w:rPr>
      </w:pPr>
      <w:r>
        <w:rPr>
          <w:rFonts w:hint="eastAsia" w:ascii="仿宋_GB2312" w:hAnsi="楷体" w:cs="Times New Roman"/>
        </w:rPr>
        <w:t>按照要求设置保护区标志和隔离防护设施。</w:t>
      </w:r>
      <w:r>
        <w:rPr>
          <w:rFonts w:hint="eastAsia" w:ascii="仿宋_GB2312" w:cs="Times New Roman"/>
        </w:rPr>
        <w:t>做好辖区内饮用水水源地保护区标识牌和隔离防护措施的安装与维护，对水源地保护区内缺损的界碑界桩、宣传牌和道路警示牌等进行补充和更换，并加强联合巡查、维护，保持其状态完好。</w:t>
      </w:r>
    </w:p>
    <w:p>
      <w:pPr>
        <w:spacing w:line="580" w:lineRule="exact"/>
        <w:ind w:firstLine="640"/>
        <w:rPr>
          <w:rFonts w:ascii="楷体_GB2312" w:eastAsia="楷体_GB2312"/>
        </w:rPr>
      </w:pPr>
      <w:bookmarkStart w:id="92" w:name="_Toc122898380"/>
      <w:bookmarkStart w:id="93" w:name="_Toc122990815"/>
      <w:r>
        <w:rPr>
          <w:rFonts w:hint="eastAsia" w:ascii="楷体_GB2312" w:eastAsia="楷体_GB2312"/>
        </w:rPr>
        <w:t>（三）强化水资源保障</w:t>
      </w:r>
      <w:bookmarkEnd w:id="92"/>
      <w:bookmarkEnd w:id="93"/>
      <w:r>
        <w:rPr>
          <w:rFonts w:hint="eastAsia" w:ascii="楷体_GB2312" w:eastAsia="楷体_GB2312"/>
        </w:rPr>
        <w:t>。</w:t>
      </w:r>
      <w:r>
        <w:rPr>
          <w:rFonts w:hint="eastAsia" w:ascii="仿宋_GB2312" w:cs="Times New Roman"/>
          <w:color w:val="000000"/>
          <w:kern w:val="0"/>
          <w:szCs w:val="28"/>
        </w:rPr>
        <w:t>严格控制地下水超采。加强地下水开发利用管理，衔接“三线一单”，严格落实地下水开采相关分区管控措施。在泉域范围内或地下水超采区，禁止工业建设项目和服务业新增取用地下水。严格落实区内重点地下水型饮用水水源地和济南泉域划定的地下水位黄色、橙色、红色预警线，严格实施地下水取水量和水位“双控”，落实地下水动态预警管理机制。严格控制开采深层承压水。</w:t>
      </w:r>
    </w:p>
    <w:p>
      <w:pPr>
        <w:spacing w:line="580" w:lineRule="exact"/>
        <w:ind w:firstLine="640"/>
        <w:rPr>
          <w:rFonts w:ascii="仿宋_GB2312" w:cs="Times New Roman"/>
          <w:color w:val="000000"/>
          <w:kern w:val="0"/>
          <w:szCs w:val="28"/>
        </w:rPr>
      </w:pPr>
      <w:r>
        <w:rPr>
          <w:rFonts w:hint="eastAsia" w:ascii="仿宋_GB2312" w:cs="Times New Roman"/>
          <w:color w:val="000000"/>
          <w:kern w:val="0"/>
          <w:szCs w:val="28"/>
        </w:rPr>
        <w:t>实施节水行动。工业企业应当使用先进节水技术，工艺和设备，降低用水消耗；园林绿化应当坚持适地适树，优先选用耐旱型树木、花草，推广采用喷灌、滴灌等节水型灌溉方式；洗车、洗浴、洗涤、宾馆等行业，应当采用节水技术，安装使用节水设施、设备和器具；企业和自建供水设施的单位，应当加强供水设施的维护和管理，建立供水设施日常巡检与应急、抢修制度，降低供水管网漏失率。实施节水示范建设，将节水融入到取、供、用、耗、排全过程。</w:t>
      </w:r>
    </w:p>
    <w:p>
      <w:pPr>
        <w:spacing w:line="580" w:lineRule="exact"/>
        <w:ind w:firstLine="640"/>
        <w:rPr>
          <w:rFonts w:ascii="楷体_GB2312" w:eastAsia="楷体_GB2312"/>
        </w:rPr>
      </w:pPr>
      <w:bookmarkStart w:id="94" w:name="_Toc122898381"/>
      <w:bookmarkStart w:id="95" w:name="_Toc122990816"/>
      <w:r>
        <w:rPr>
          <w:rFonts w:hint="eastAsia" w:ascii="楷体_GB2312" w:eastAsia="楷体_GB2312"/>
        </w:rPr>
        <w:t>（四）水生态保护与修复</w:t>
      </w:r>
      <w:bookmarkEnd w:id="94"/>
      <w:bookmarkEnd w:id="95"/>
      <w:r>
        <w:rPr>
          <w:rFonts w:hint="eastAsia" w:ascii="楷体_GB2312" w:eastAsia="楷体_GB2312"/>
        </w:rPr>
        <w:t>。</w:t>
      </w:r>
      <w:r>
        <w:rPr>
          <w:rFonts w:hint="eastAsia" w:ascii="仿宋_GB2312" w:cs="Times New Roman"/>
          <w:color w:val="000000"/>
          <w:kern w:val="0"/>
          <w:szCs w:val="28"/>
        </w:rPr>
        <w:t>开展河道水生态试点。针对公众关注度高、具有重要生态功能的水体，开展水生态调查以及水生态健康评价等工作，探索构建历下区水生态健康监测、评价体系。加快推进大辛河（旅游路以北段）等生态综合治理工程，构建中心城区多级别生态廊道。加强河湖生态恢复。逐步恢复全福河等河湖土著鱼类和水生生物及其栖息地生境。在满足防洪、除涝要求的基础上，开展景观植被种植、生态河道建设及河湖岸线清理复绿等工作，实施生态护坡，逐步恢复景观生态服务功能。开展大明湖等河湖库水生态环境质量调查和健康评价。</w:t>
      </w:r>
    </w:p>
    <w:p>
      <w:pPr>
        <w:spacing w:line="580" w:lineRule="exact"/>
        <w:ind w:firstLine="640"/>
        <w:rPr>
          <w:rFonts w:ascii="仿宋_GB2312" w:cs="Times New Roman"/>
          <w:color w:val="000000"/>
          <w:kern w:val="0"/>
          <w:szCs w:val="28"/>
        </w:rPr>
      </w:pPr>
      <w:r>
        <w:rPr>
          <w:rFonts w:hint="eastAsia" w:ascii="仿宋_GB2312" w:cs="Times New Roman"/>
          <w:color w:val="000000"/>
          <w:kern w:val="0"/>
          <w:szCs w:val="28"/>
        </w:rPr>
        <w:t>统筹开展“河道有水”建设。推进城区河道有水工程建设。通过全福河、柳行河等河道补源工程，全面改善城区水生态环境，彰显泉城水环境特色。</w:t>
      </w:r>
    </w:p>
    <w:p>
      <w:pPr>
        <w:spacing w:line="580" w:lineRule="exact"/>
        <w:ind w:firstLine="640"/>
        <w:rPr>
          <w:rFonts w:ascii="楷体_GB2312" w:eastAsia="楷体_GB2312"/>
        </w:rPr>
      </w:pPr>
      <w:bookmarkStart w:id="96" w:name="_Toc122990817"/>
      <w:bookmarkStart w:id="97" w:name="_Toc122898382"/>
      <w:r>
        <w:rPr>
          <w:rFonts w:hint="eastAsia" w:ascii="楷体_GB2312" w:eastAsia="楷体_GB2312"/>
        </w:rPr>
        <w:t>（五）巩固城市黑臭水体治理成效</w:t>
      </w:r>
      <w:bookmarkEnd w:id="96"/>
      <w:bookmarkEnd w:id="97"/>
      <w:r>
        <w:rPr>
          <w:rFonts w:hint="eastAsia" w:ascii="楷体_GB2312" w:eastAsia="楷体_GB2312"/>
        </w:rPr>
        <w:t>。</w:t>
      </w:r>
      <w:r>
        <w:rPr>
          <w:rFonts w:hint="eastAsia"/>
        </w:rPr>
        <w:t>建立城市建成区黑臭水体清单动态调整机制，及时将反弹和新发现的黑臭水体纳入清单督促治理。持续推动河湖长制“有名”“有实”“有能”“有效”，建立健全长效管理机制，排查“乱占、乱采、乱堆、乱建”的四乱问题，保持河湖违法问题动态清零；落实整改违法排污、纳网改排不达标、排污口手续不健全行为；确保管理范围河道内无违法行为、河面无漂浮废弃物、河中无障碍、河岸无垃圾。</w:t>
      </w:r>
    </w:p>
    <w:p>
      <w:pPr>
        <w:spacing w:line="580" w:lineRule="exact"/>
        <w:ind w:firstLine="640"/>
        <w:rPr>
          <w:rFonts w:ascii="楷体_GB2312" w:eastAsia="楷体_GB2312"/>
        </w:rPr>
      </w:pPr>
      <w:bookmarkStart w:id="98" w:name="_Toc122898383"/>
      <w:bookmarkStart w:id="99" w:name="_Toc122990818"/>
      <w:r>
        <w:rPr>
          <w:rFonts w:hint="eastAsia" w:ascii="楷体_GB2312" w:eastAsia="楷体_GB2312"/>
        </w:rPr>
        <w:t>（六）加强区域联防联控</w:t>
      </w:r>
      <w:bookmarkEnd w:id="98"/>
      <w:bookmarkEnd w:id="99"/>
      <w:r>
        <w:rPr>
          <w:rFonts w:hint="eastAsia" w:ascii="楷体_GB2312" w:eastAsia="楷体_GB2312"/>
        </w:rPr>
        <w:t>。</w:t>
      </w:r>
      <w:r>
        <w:rPr>
          <w:rFonts w:hint="eastAsia" w:cs="Times New Roman"/>
          <w:color w:val="000000"/>
          <w:kern w:val="0"/>
          <w:szCs w:val="28"/>
        </w:rPr>
        <w:t>以流域横向生态补偿为抓手，加强流域污染联防联控。积极</w:t>
      </w:r>
      <w:r>
        <w:rPr>
          <w:rFonts w:cs="Times New Roman"/>
          <w:color w:val="000000"/>
          <w:kern w:val="0"/>
          <w:szCs w:val="28"/>
        </w:rPr>
        <w:t>推动形成小清河流域上下游联合监测、联合执法、应急联动、信息共享的协同推进工作机制。加强重要跨界河流以及其他敏感水体风险防控，</w:t>
      </w:r>
      <w:r>
        <w:rPr>
          <w:rFonts w:hint="eastAsia" w:cs="Times New Roman"/>
          <w:color w:val="000000"/>
          <w:kern w:val="0"/>
          <w:szCs w:val="28"/>
        </w:rPr>
        <w:t>认真落实“一河一策”方案</w:t>
      </w:r>
      <w:r>
        <w:rPr>
          <w:rFonts w:cs="Times New Roman"/>
          <w:color w:val="000000"/>
          <w:kern w:val="0"/>
          <w:szCs w:val="28"/>
        </w:rPr>
        <w:t>。</w:t>
      </w:r>
      <w:r>
        <w:rPr>
          <w:rFonts w:hint="eastAsia" w:cs="Times New Roman"/>
          <w:color w:val="000000"/>
          <w:kern w:val="0"/>
          <w:szCs w:val="28"/>
        </w:rPr>
        <w:t>在全市率先推行流域水环境预警，确保生态补偿断面水质稳定达标。</w:t>
      </w:r>
      <w:bookmarkEnd w:id="75"/>
    </w:p>
    <w:p>
      <w:pPr>
        <w:spacing w:line="580" w:lineRule="exact"/>
        <w:ind w:firstLine="640"/>
        <w:rPr>
          <w:rFonts w:ascii="黑体" w:hAnsi="黑体" w:eastAsia="黑体"/>
        </w:rPr>
      </w:pPr>
      <w:bookmarkStart w:id="100" w:name="_Toc122990819"/>
      <w:r>
        <w:rPr>
          <w:rFonts w:hint="eastAsia" w:ascii="黑体" w:hAnsi="黑体" w:eastAsia="黑体"/>
        </w:rPr>
        <w:t>四、骨干工程项目</w:t>
      </w:r>
      <w:bookmarkEnd w:id="100"/>
    </w:p>
    <w:p>
      <w:pPr>
        <w:spacing w:line="580" w:lineRule="exact"/>
        <w:ind w:firstLine="640"/>
        <w:rPr>
          <w:rFonts w:ascii="仿宋_GB2312"/>
        </w:rPr>
      </w:pPr>
      <w:r>
        <w:rPr>
          <w:rFonts w:hint="eastAsia" w:ascii="仿宋_GB2312"/>
        </w:rPr>
        <w:t>历下区“十四五”期间拟实施骨干工程10个，均为污染减排类。</w:t>
      </w:r>
    </w:p>
    <w:p>
      <w:pPr>
        <w:overflowPunct w:val="0"/>
        <w:ind w:firstLine="0" w:firstLineChars="0"/>
        <w:jc w:val="center"/>
        <w:rPr>
          <w:rFonts w:ascii="黑体" w:hAnsi="黑体" w:eastAsia="黑体"/>
          <w:sz w:val="28"/>
          <w:szCs w:val="21"/>
        </w:rPr>
      </w:pPr>
      <w:r>
        <w:rPr>
          <w:rFonts w:hint="eastAsia" w:ascii="黑体" w:hAnsi="黑体" w:eastAsia="黑体"/>
          <w:sz w:val="28"/>
          <w:szCs w:val="21"/>
        </w:rPr>
        <w:t>表3</w:t>
      </w:r>
      <w:r>
        <w:rPr>
          <w:rFonts w:ascii="黑体" w:hAnsi="黑体" w:eastAsia="黑体"/>
          <w:sz w:val="28"/>
          <w:szCs w:val="21"/>
        </w:rPr>
        <w:t xml:space="preserve"> </w:t>
      </w:r>
      <w:r>
        <w:rPr>
          <w:rFonts w:hint="eastAsia" w:ascii="黑体" w:hAnsi="黑体" w:eastAsia="黑体"/>
          <w:sz w:val="28"/>
          <w:szCs w:val="21"/>
        </w:rPr>
        <w:t>“十四五”期间历下区骨干工程</w:t>
      </w:r>
    </w:p>
    <w:tbl>
      <w:tblPr>
        <w:tblStyle w:val="20"/>
        <w:tblW w:w="506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7"/>
        <w:gridCol w:w="841"/>
        <w:gridCol w:w="1880"/>
        <w:gridCol w:w="3870"/>
        <w:gridCol w:w="892"/>
        <w:gridCol w:w="9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blHeader/>
          <w:jc w:val="center"/>
        </w:trPr>
        <w:tc>
          <w:tcPr>
            <w:tcW w:w="368" w:type="pct"/>
            <w:vAlign w:val="center"/>
          </w:tcPr>
          <w:p>
            <w:pPr>
              <w:widowControl/>
              <w:spacing w:line="240" w:lineRule="exact"/>
              <w:ind w:firstLine="0" w:firstLineChars="0"/>
              <w:jc w:val="center"/>
              <w:rPr>
                <w:rFonts w:ascii="黑体" w:hAnsi="黑体" w:eastAsia="黑体" w:cs="宋体"/>
                <w:color w:val="0D0D0D" w:themeColor="text1" w:themeTint="F2"/>
                <w:kern w:val="0"/>
                <w:sz w:val="21"/>
                <w:szCs w:val="21"/>
                <w14:textFill>
                  <w14:solidFill>
                    <w14:schemeClr w14:val="tx1">
                      <w14:lumMod w14:val="95000"/>
                      <w14:lumOff w14:val="5000"/>
                    </w14:schemeClr>
                  </w14:solidFill>
                </w14:textFill>
              </w:rPr>
            </w:pPr>
            <w:r>
              <w:rPr>
                <w:rFonts w:hint="eastAsia" w:ascii="黑体" w:hAnsi="黑体" w:eastAsia="黑体" w:cs="宋体"/>
                <w:color w:val="0D0D0D" w:themeColor="text1" w:themeTint="F2"/>
                <w:kern w:val="0"/>
                <w:sz w:val="21"/>
                <w:szCs w:val="21"/>
                <w14:textFill>
                  <w14:solidFill>
                    <w14:schemeClr w14:val="tx1">
                      <w14:lumMod w14:val="95000"/>
                      <w14:lumOff w14:val="5000"/>
                    </w14:schemeClr>
                  </w14:solidFill>
                </w14:textFill>
              </w:rPr>
              <w:t>序号</w:t>
            </w:r>
          </w:p>
        </w:tc>
        <w:tc>
          <w:tcPr>
            <w:tcW w:w="464" w:type="pct"/>
            <w:vAlign w:val="center"/>
          </w:tcPr>
          <w:p>
            <w:pPr>
              <w:widowControl/>
              <w:spacing w:line="240" w:lineRule="exact"/>
              <w:ind w:firstLine="0" w:firstLineChars="0"/>
              <w:jc w:val="center"/>
              <w:rPr>
                <w:rFonts w:ascii="黑体" w:hAnsi="黑体" w:eastAsia="黑体" w:cs="宋体"/>
                <w:color w:val="0D0D0D" w:themeColor="text1" w:themeTint="F2"/>
                <w:kern w:val="0"/>
                <w:sz w:val="21"/>
                <w:szCs w:val="21"/>
                <w14:textFill>
                  <w14:solidFill>
                    <w14:schemeClr w14:val="tx1">
                      <w14:lumMod w14:val="95000"/>
                      <w14:lumOff w14:val="5000"/>
                    </w14:schemeClr>
                  </w14:solidFill>
                </w14:textFill>
              </w:rPr>
            </w:pPr>
            <w:r>
              <w:rPr>
                <w:rFonts w:hint="eastAsia" w:ascii="黑体" w:hAnsi="黑体" w:eastAsia="黑体" w:cs="宋体"/>
                <w:color w:val="0D0D0D" w:themeColor="text1" w:themeTint="F2"/>
                <w:kern w:val="0"/>
                <w:sz w:val="21"/>
                <w:szCs w:val="21"/>
                <w14:textFill>
                  <w14:solidFill>
                    <w14:schemeClr w14:val="tx1">
                      <w14:lumMod w14:val="95000"/>
                      <w14:lumOff w14:val="5000"/>
                    </w14:schemeClr>
                  </w14:solidFill>
                </w14:textFill>
              </w:rPr>
              <w:t>类型</w:t>
            </w:r>
          </w:p>
        </w:tc>
        <w:tc>
          <w:tcPr>
            <w:tcW w:w="1037" w:type="pct"/>
            <w:vAlign w:val="center"/>
          </w:tcPr>
          <w:p>
            <w:pPr>
              <w:widowControl/>
              <w:spacing w:line="240" w:lineRule="exact"/>
              <w:ind w:firstLine="0" w:firstLineChars="0"/>
              <w:jc w:val="center"/>
              <w:rPr>
                <w:rFonts w:ascii="黑体" w:hAnsi="黑体" w:eastAsia="黑体" w:cs="宋体"/>
                <w:color w:val="0D0D0D" w:themeColor="text1" w:themeTint="F2"/>
                <w:kern w:val="0"/>
                <w:sz w:val="21"/>
                <w:szCs w:val="21"/>
                <w14:textFill>
                  <w14:solidFill>
                    <w14:schemeClr w14:val="tx1">
                      <w14:lumMod w14:val="95000"/>
                      <w14:lumOff w14:val="5000"/>
                    </w14:schemeClr>
                  </w14:solidFill>
                </w14:textFill>
              </w:rPr>
            </w:pPr>
            <w:r>
              <w:rPr>
                <w:rFonts w:hint="eastAsia" w:ascii="黑体" w:hAnsi="黑体" w:eastAsia="黑体" w:cs="宋体"/>
                <w:color w:val="0D0D0D" w:themeColor="text1" w:themeTint="F2"/>
                <w:kern w:val="0"/>
                <w:sz w:val="21"/>
                <w:szCs w:val="21"/>
                <w14:textFill>
                  <w14:solidFill>
                    <w14:schemeClr w14:val="tx1">
                      <w14:lumMod w14:val="95000"/>
                      <w14:lumOff w14:val="5000"/>
                    </w14:schemeClr>
                  </w14:solidFill>
                </w14:textFill>
              </w:rPr>
              <w:t>项目名称</w:t>
            </w:r>
          </w:p>
        </w:tc>
        <w:tc>
          <w:tcPr>
            <w:tcW w:w="2135" w:type="pct"/>
            <w:vAlign w:val="center"/>
          </w:tcPr>
          <w:p>
            <w:pPr>
              <w:widowControl/>
              <w:spacing w:line="240" w:lineRule="exact"/>
              <w:ind w:firstLine="0" w:firstLineChars="0"/>
              <w:jc w:val="center"/>
              <w:rPr>
                <w:rFonts w:ascii="黑体" w:hAnsi="黑体" w:eastAsia="黑体" w:cs="宋体"/>
                <w:color w:val="0D0D0D" w:themeColor="text1" w:themeTint="F2"/>
                <w:kern w:val="0"/>
                <w:sz w:val="21"/>
                <w:szCs w:val="21"/>
                <w14:textFill>
                  <w14:solidFill>
                    <w14:schemeClr w14:val="tx1">
                      <w14:lumMod w14:val="95000"/>
                      <w14:lumOff w14:val="5000"/>
                    </w14:schemeClr>
                  </w14:solidFill>
                </w14:textFill>
              </w:rPr>
            </w:pPr>
            <w:r>
              <w:rPr>
                <w:rFonts w:hint="eastAsia" w:ascii="黑体" w:hAnsi="黑体" w:eastAsia="黑体" w:cs="宋体"/>
                <w:color w:val="0D0D0D" w:themeColor="text1" w:themeTint="F2"/>
                <w:kern w:val="0"/>
                <w:sz w:val="21"/>
                <w:szCs w:val="21"/>
                <w14:textFill>
                  <w14:solidFill>
                    <w14:schemeClr w14:val="tx1">
                      <w14:lumMod w14:val="95000"/>
                      <w14:lumOff w14:val="5000"/>
                    </w14:schemeClr>
                  </w14:solidFill>
                </w14:textFill>
              </w:rPr>
              <w:t>项目内容</w:t>
            </w:r>
          </w:p>
        </w:tc>
        <w:tc>
          <w:tcPr>
            <w:tcW w:w="492" w:type="pct"/>
            <w:vAlign w:val="center"/>
          </w:tcPr>
          <w:p>
            <w:pPr>
              <w:widowControl/>
              <w:spacing w:line="240" w:lineRule="exact"/>
              <w:ind w:firstLine="0" w:firstLineChars="0"/>
              <w:jc w:val="center"/>
              <w:rPr>
                <w:rFonts w:ascii="黑体" w:hAnsi="黑体" w:eastAsia="黑体" w:cs="宋体"/>
                <w:color w:val="0D0D0D" w:themeColor="text1" w:themeTint="F2"/>
                <w:kern w:val="0"/>
                <w:sz w:val="21"/>
                <w:szCs w:val="21"/>
                <w14:textFill>
                  <w14:solidFill>
                    <w14:schemeClr w14:val="tx1">
                      <w14:lumMod w14:val="95000"/>
                      <w14:lumOff w14:val="5000"/>
                    </w14:schemeClr>
                  </w14:solidFill>
                </w14:textFill>
              </w:rPr>
            </w:pPr>
            <w:r>
              <w:rPr>
                <w:rFonts w:hint="eastAsia" w:ascii="黑体" w:hAnsi="黑体" w:eastAsia="黑体" w:cs="宋体"/>
                <w:color w:val="0D0D0D" w:themeColor="text1" w:themeTint="F2"/>
                <w:kern w:val="0"/>
                <w:sz w:val="21"/>
                <w:szCs w:val="21"/>
                <w14:textFill>
                  <w14:solidFill>
                    <w14:schemeClr w14:val="tx1">
                      <w14:lumMod w14:val="95000"/>
                      <w14:lumOff w14:val="5000"/>
                    </w14:schemeClr>
                  </w14:solidFill>
                </w14:textFill>
              </w:rPr>
              <w:t>完成</w:t>
            </w:r>
          </w:p>
          <w:p>
            <w:pPr>
              <w:widowControl/>
              <w:spacing w:line="240" w:lineRule="exact"/>
              <w:ind w:firstLine="0" w:firstLineChars="0"/>
              <w:jc w:val="center"/>
              <w:rPr>
                <w:rFonts w:ascii="黑体" w:hAnsi="黑体" w:eastAsia="黑体" w:cs="宋体"/>
                <w:color w:val="0D0D0D" w:themeColor="text1" w:themeTint="F2"/>
                <w:kern w:val="0"/>
                <w:sz w:val="21"/>
                <w:szCs w:val="21"/>
                <w14:textFill>
                  <w14:solidFill>
                    <w14:schemeClr w14:val="tx1">
                      <w14:lumMod w14:val="95000"/>
                      <w14:lumOff w14:val="5000"/>
                    </w14:schemeClr>
                  </w14:solidFill>
                </w14:textFill>
              </w:rPr>
            </w:pPr>
            <w:r>
              <w:rPr>
                <w:rFonts w:hint="eastAsia" w:ascii="黑体" w:hAnsi="黑体" w:eastAsia="黑体" w:cs="宋体"/>
                <w:color w:val="0D0D0D" w:themeColor="text1" w:themeTint="F2"/>
                <w:kern w:val="0"/>
                <w:sz w:val="21"/>
                <w:szCs w:val="21"/>
                <w14:textFill>
                  <w14:solidFill>
                    <w14:schemeClr w14:val="tx1">
                      <w14:lumMod w14:val="95000"/>
                      <w14:lumOff w14:val="5000"/>
                    </w14:schemeClr>
                  </w14:solidFill>
                </w14:textFill>
              </w:rPr>
              <w:t>年限</w:t>
            </w:r>
          </w:p>
        </w:tc>
        <w:tc>
          <w:tcPr>
            <w:tcW w:w="504" w:type="pct"/>
            <w:vAlign w:val="center"/>
          </w:tcPr>
          <w:p>
            <w:pPr>
              <w:widowControl/>
              <w:spacing w:line="240" w:lineRule="exact"/>
              <w:ind w:firstLine="0" w:firstLineChars="0"/>
              <w:jc w:val="center"/>
              <w:rPr>
                <w:rFonts w:ascii="黑体" w:hAnsi="黑体" w:eastAsia="黑体" w:cs="宋体"/>
                <w:color w:val="0D0D0D" w:themeColor="text1" w:themeTint="F2"/>
                <w:kern w:val="0"/>
                <w:sz w:val="21"/>
                <w:szCs w:val="21"/>
                <w14:textFill>
                  <w14:solidFill>
                    <w14:schemeClr w14:val="tx1">
                      <w14:lumMod w14:val="95000"/>
                      <w14:lumOff w14:val="5000"/>
                    </w14:schemeClr>
                  </w14:solidFill>
                </w14:textFill>
              </w:rPr>
            </w:pPr>
            <w:r>
              <w:rPr>
                <w:rFonts w:hint="eastAsia" w:ascii="黑体" w:hAnsi="黑体" w:eastAsia="黑体" w:cs="宋体"/>
                <w:color w:val="0D0D0D" w:themeColor="text1" w:themeTint="F2"/>
                <w:kern w:val="0"/>
                <w:sz w:val="21"/>
                <w:szCs w:val="21"/>
                <w14:textFill>
                  <w14:solidFill>
                    <w14:schemeClr w14:val="tx1">
                      <w14:lumMod w14:val="95000"/>
                      <w14:lumOff w14:val="5000"/>
                    </w14:schemeClr>
                  </w14:solidFill>
                </w14:textFill>
              </w:rPr>
              <w:t>完成</w:t>
            </w:r>
          </w:p>
          <w:p>
            <w:pPr>
              <w:widowControl/>
              <w:spacing w:line="240" w:lineRule="exact"/>
              <w:ind w:firstLine="0" w:firstLineChars="0"/>
              <w:jc w:val="center"/>
              <w:rPr>
                <w:rFonts w:ascii="黑体" w:hAnsi="黑体" w:eastAsia="黑体" w:cs="宋体"/>
                <w:color w:val="0D0D0D" w:themeColor="text1" w:themeTint="F2"/>
                <w:kern w:val="0"/>
                <w:sz w:val="21"/>
                <w:szCs w:val="21"/>
                <w14:textFill>
                  <w14:solidFill>
                    <w14:schemeClr w14:val="tx1">
                      <w14:lumMod w14:val="95000"/>
                      <w14:lumOff w14:val="5000"/>
                    </w14:schemeClr>
                  </w14:solidFill>
                </w14:textFill>
              </w:rPr>
            </w:pPr>
            <w:r>
              <w:rPr>
                <w:rFonts w:hint="eastAsia" w:ascii="黑体" w:hAnsi="黑体" w:eastAsia="黑体" w:cs="宋体"/>
                <w:color w:val="0D0D0D" w:themeColor="text1" w:themeTint="F2"/>
                <w:kern w:val="0"/>
                <w:sz w:val="21"/>
                <w:szCs w:val="21"/>
                <w14:textFill>
                  <w14:solidFill>
                    <w14:schemeClr w14:val="tx1">
                      <w14:lumMod w14:val="95000"/>
                      <w14:lumOff w14:val="5000"/>
                    </w14:schemeClr>
                  </w14:solidFill>
                </w14:textFill>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jc w:val="center"/>
        </w:trPr>
        <w:tc>
          <w:tcPr>
            <w:tcW w:w="368" w:type="pct"/>
            <w:vAlign w:val="center"/>
          </w:tcPr>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bookmarkStart w:id="101" w:name="_Hlk122887151"/>
            <w:r>
              <w:rPr>
                <w:rFonts w:hint="eastAsia" w:hAnsi="宋体" w:cs="宋体"/>
                <w:color w:val="0D0D0D" w:themeColor="text1" w:themeTint="F2"/>
                <w:kern w:val="0"/>
                <w:sz w:val="21"/>
                <w:szCs w:val="21"/>
                <w14:textFill>
                  <w14:solidFill>
                    <w14:schemeClr w14:val="tx1">
                      <w14:lumMod w14:val="95000"/>
                      <w14:lumOff w14:val="5000"/>
                    </w14:schemeClr>
                  </w14:solidFill>
                </w14:textFill>
              </w:rPr>
              <w:t>1</w:t>
            </w:r>
          </w:p>
        </w:tc>
        <w:tc>
          <w:tcPr>
            <w:tcW w:w="464" w:type="pct"/>
            <w:vAlign w:val="center"/>
          </w:tcPr>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污染</w:t>
            </w:r>
          </w:p>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减排</w:t>
            </w:r>
          </w:p>
        </w:tc>
        <w:tc>
          <w:tcPr>
            <w:tcW w:w="1037" w:type="pct"/>
            <w:vAlign w:val="center"/>
          </w:tcPr>
          <w:p>
            <w:pPr>
              <w:widowControl/>
              <w:spacing w:line="240" w:lineRule="exact"/>
              <w:ind w:firstLine="0" w:firstLineChars="0"/>
              <w:rPr>
                <w:rFonts w:hAnsi="宋体" w:cs="宋体"/>
                <w:color w:val="0D0D0D" w:themeColor="text1" w:themeTint="F2"/>
                <w:kern w:val="0"/>
                <w:sz w:val="21"/>
                <w:szCs w:val="21"/>
                <w14:textFill>
                  <w14:solidFill>
                    <w14:schemeClr w14:val="tx1">
                      <w14:lumMod w14:val="95000"/>
                      <w14:lumOff w14:val="5000"/>
                    </w14:schemeClr>
                  </w14:solidFill>
                </w14:textFill>
              </w:rPr>
            </w:pPr>
            <w:bookmarkStart w:id="102" w:name="_Hlk122886857"/>
            <w:r>
              <w:rPr>
                <w:rFonts w:hint="eastAsia" w:hAnsi="宋体" w:cs="宋体"/>
                <w:color w:val="0D0D0D" w:themeColor="text1" w:themeTint="F2"/>
                <w:kern w:val="0"/>
                <w:sz w:val="21"/>
                <w:szCs w:val="21"/>
                <w14:textFill>
                  <w14:solidFill>
                    <w14:schemeClr w14:val="tx1">
                      <w14:lumMod w14:val="95000"/>
                      <w14:lumOff w14:val="5000"/>
                    </w14:schemeClr>
                  </w14:solidFill>
                </w14:textFill>
              </w:rPr>
              <w:t>历下区千佛山片区雨污分流工程</w:t>
            </w:r>
            <w:bookmarkEnd w:id="102"/>
          </w:p>
        </w:tc>
        <w:tc>
          <w:tcPr>
            <w:tcW w:w="2135" w:type="pct"/>
            <w:vAlign w:val="center"/>
          </w:tcPr>
          <w:p>
            <w:pPr>
              <w:widowControl/>
              <w:spacing w:line="240" w:lineRule="exact"/>
              <w:ind w:firstLine="0" w:firstLineChars="0"/>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新建雨污水管网，同步实施混接点改造、路面恢复等工程，实现工程范围内雨污分流。对现状污水管进行清淤检测修复。</w:t>
            </w:r>
          </w:p>
        </w:tc>
        <w:tc>
          <w:tcPr>
            <w:tcW w:w="492" w:type="pct"/>
            <w:vAlign w:val="center"/>
          </w:tcPr>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2025</w:t>
            </w:r>
          </w:p>
        </w:tc>
        <w:tc>
          <w:tcPr>
            <w:tcW w:w="504" w:type="pct"/>
            <w:vAlign w:val="center"/>
          </w:tcPr>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jc w:val="center"/>
        </w:trPr>
        <w:tc>
          <w:tcPr>
            <w:tcW w:w="368" w:type="pct"/>
            <w:vAlign w:val="center"/>
          </w:tcPr>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2</w:t>
            </w:r>
          </w:p>
        </w:tc>
        <w:tc>
          <w:tcPr>
            <w:tcW w:w="464" w:type="pct"/>
            <w:vAlign w:val="center"/>
          </w:tcPr>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污染</w:t>
            </w:r>
          </w:p>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减排</w:t>
            </w:r>
          </w:p>
        </w:tc>
        <w:tc>
          <w:tcPr>
            <w:tcW w:w="1037" w:type="pct"/>
            <w:vAlign w:val="center"/>
          </w:tcPr>
          <w:p>
            <w:pPr>
              <w:widowControl/>
              <w:spacing w:line="240" w:lineRule="exact"/>
              <w:ind w:firstLine="0" w:firstLineChars="0"/>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历下区黄台营院-历园新村片区混接点雨污分流改造工程</w:t>
            </w:r>
          </w:p>
        </w:tc>
        <w:tc>
          <w:tcPr>
            <w:tcW w:w="2135" w:type="pct"/>
            <w:vAlign w:val="center"/>
          </w:tcPr>
          <w:p>
            <w:pPr>
              <w:widowControl/>
              <w:spacing w:line="240" w:lineRule="exact"/>
              <w:ind w:firstLine="0" w:firstLineChars="0"/>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新建雨污水管线10公里，改造雨污混接点5处。</w:t>
            </w:r>
          </w:p>
        </w:tc>
        <w:tc>
          <w:tcPr>
            <w:tcW w:w="492" w:type="pct"/>
            <w:vAlign w:val="center"/>
          </w:tcPr>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2025</w:t>
            </w:r>
          </w:p>
        </w:tc>
        <w:tc>
          <w:tcPr>
            <w:tcW w:w="504" w:type="pct"/>
            <w:vAlign w:val="center"/>
          </w:tcPr>
          <w:p>
            <w:pPr>
              <w:spacing w:line="240" w:lineRule="exact"/>
              <w:ind w:firstLine="0" w:firstLineChars="0"/>
              <w:rPr>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368" w:type="pct"/>
            <w:vAlign w:val="center"/>
          </w:tcPr>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3</w:t>
            </w:r>
          </w:p>
        </w:tc>
        <w:tc>
          <w:tcPr>
            <w:tcW w:w="464" w:type="pct"/>
            <w:vAlign w:val="center"/>
          </w:tcPr>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污染</w:t>
            </w:r>
          </w:p>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减排</w:t>
            </w:r>
          </w:p>
        </w:tc>
        <w:tc>
          <w:tcPr>
            <w:tcW w:w="1037" w:type="pct"/>
            <w:vAlign w:val="center"/>
          </w:tcPr>
          <w:p>
            <w:pPr>
              <w:widowControl/>
              <w:spacing w:line="240" w:lineRule="exact"/>
              <w:ind w:firstLine="0" w:firstLineChars="0"/>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新移交管网修复整治</w:t>
            </w:r>
          </w:p>
        </w:tc>
        <w:tc>
          <w:tcPr>
            <w:tcW w:w="2135" w:type="pct"/>
            <w:vAlign w:val="center"/>
          </w:tcPr>
          <w:p>
            <w:pPr>
              <w:widowControl/>
              <w:spacing w:line="240" w:lineRule="exact"/>
              <w:ind w:firstLine="0" w:firstLineChars="0"/>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新移交管网修复整治</w:t>
            </w:r>
          </w:p>
        </w:tc>
        <w:tc>
          <w:tcPr>
            <w:tcW w:w="492" w:type="pct"/>
            <w:vAlign w:val="center"/>
          </w:tcPr>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2025</w:t>
            </w:r>
          </w:p>
        </w:tc>
        <w:tc>
          <w:tcPr>
            <w:tcW w:w="504" w:type="pct"/>
            <w:vAlign w:val="center"/>
          </w:tcPr>
          <w:p>
            <w:pPr>
              <w:spacing w:line="240" w:lineRule="exact"/>
              <w:ind w:firstLine="0" w:firstLineChars="0"/>
              <w:rPr>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jc w:val="center"/>
        </w:trPr>
        <w:tc>
          <w:tcPr>
            <w:tcW w:w="368" w:type="pct"/>
            <w:vAlign w:val="center"/>
          </w:tcPr>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4</w:t>
            </w:r>
          </w:p>
        </w:tc>
        <w:tc>
          <w:tcPr>
            <w:tcW w:w="464" w:type="pct"/>
            <w:vAlign w:val="center"/>
          </w:tcPr>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污染</w:t>
            </w:r>
          </w:p>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减排</w:t>
            </w:r>
          </w:p>
        </w:tc>
        <w:tc>
          <w:tcPr>
            <w:tcW w:w="1037" w:type="pct"/>
            <w:vAlign w:val="center"/>
          </w:tcPr>
          <w:p>
            <w:pPr>
              <w:widowControl/>
              <w:spacing w:line="240" w:lineRule="exact"/>
              <w:ind w:firstLine="0" w:firstLineChars="0"/>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重点街区管网综合整治</w:t>
            </w:r>
          </w:p>
        </w:tc>
        <w:tc>
          <w:tcPr>
            <w:tcW w:w="2135" w:type="pct"/>
            <w:vAlign w:val="center"/>
          </w:tcPr>
          <w:p>
            <w:pPr>
              <w:widowControl/>
              <w:spacing w:line="240" w:lineRule="exact"/>
              <w:ind w:firstLine="0" w:firstLineChars="0"/>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重点街区管网综合整治</w:t>
            </w:r>
          </w:p>
        </w:tc>
        <w:tc>
          <w:tcPr>
            <w:tcW w:w="492" w:type="pct"/>
            <w:vAlign w:val="center"/>
          </w:tcPr>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2025</w:t>
            </w:r>
          </w:p>
        </w:tc>
        <w:tc>
          <w:tcPr>
            <w:tcW w:w="504" w:type="pct"/>
            <w:vAlign w:val="center"/>
          </w:tcPr>
          <w:p>
            <w:pPr>
              <w:spacing w:line="240" w:lineRule="exact"/>
              <w:ind w:firstLine="0" w:firstLineChars="0"/>
              <w:rPr>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368" w:type="pct"/>
            <w:vAlign w:val="center"/>
          </w:tcPr>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5</w:t>
            </w:r>
          </w:p>
        </w:tc>
        <w:tc>
          <w:tcPr>
            <w:tcW w:w="464" w:type="pct"/>
            <w:vAlign w:val="center"/>
          </w:tcPr>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污染</w:t>
            </w:r>
          </w:p>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减排</w:t>
            </w:r>
          </w:p>
        </w:tc>
        <w:tc>
          <w:tcPr>
            <w:tcW w:w="1037" w:type="pct"/>
            <w:vAlign w:val="center"/>
          </w:tcPr>
          <w:p>
            <w:pPr>
              <w:widowControl/>
              <w:spacing w:line="240" w:lineRule="exact"/>
              <w:ind w:firstLine="0" w:firstLineChars="0"/>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老旧管网更换维修</w:t>
            </w:r>
          </w:p>
        </w:tc>
        <w:tc>
          <w:tcPr>
            <w:tcW w:w="2135" w:type="pct"/>
            <w:vAlign w:val="center"/>
          </w:tcPr>
          <w:p>
            <w:pPr>
              <w:widowControl/>
              <w:spacing w:line="240" w:lineRule="exact"/>
              <w:ind w:firstLine="0" w:firstLineChars="0"/>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老旧管网更换维修</w:t>
            </w:r>
          </w:p>
        </w:tc>
        <w:tc>
          <w:tcPr>
            <w:tcW w:w="492" w:type="pct"/>
            <w:vAlign w:val="center"/>
          </w:tcPr>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2025</w:t>
            </w:r>
          </w:p>
        </w:tc>
        <w:tc>
          <w:tcPr>
            <w:tcW w:w="504" w:type="pct"/>
            <w:vAlign w:val="center"/>
          </w:tcPr>
          <w:p>
            <w:pPr>
              <w:spacing w:line="240" w:lineRule="exact"/>
              <w:ind w:firstLine="0" w:firstLineChars="0"/>
              <w:rPr>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368" w:type="pct"/>
            <w:vAlign w:val="center"/>
          </w:tcPr>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6</w:t>
            </w:r>
          </w:p>
        </w:tc>
        <w:tc>
          <w:tcPr>
            <w:tcW w:w="464" w:type="pct"/>
            <w:vAlign w:val="center"/>
          </w:tcPr>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污染</w:t>
            </w:r>
          </w:p>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减排</w:t>
            </w:r>
          </w:p>
        </w:tc>
        <w:tc>
          <w:tcPr>
            <w:tcW w:w="1037" w:type="pct"/>
            <w:vAlign w:val="center"/>
          </w:tcPr>
          <w:p>
            <w:pPr>
              <w:widowControl/>
              <w:spacing w:line="240" w:lineRule="exact"/>
              <w:ind w:firstLine="0" w:firstLineChars="0"/>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老龙沟、中井洪沟、羊头峪东沟</w:t>
            </w:r>
          </w:p>
        </w:tc>
        <w:tc>
          <w:tcPr>
            <w:tcW w:w="2135" w:type="pct"/>
            <w:vAlign w:val="center"/>
          </w:tcPr>
          <w:p>
            <w:pPr>
              <w:widowControl/>
              <w:spacing w:line="240" w:lineRule="exact"/>
              <w:ind w:firstLine="0" w:firstLineChars="0"/>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对棚盖河道进行检测，对检测中发现的挡墙破损、河底破损进行修复，消除安全隐患；对棚盖下生活污水排放口、渗漏点进行整治，杜绝污水直排河道。</w:t>
            </w:r>
          </w:p>
        </w:tc>
        <w:tc>
          <w:tcPr>
            <w:tcW w:w="492" w:type="pct"/>
            <w:vAlign w:val="center"/>
          </w:tcPr>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2025</w:t>
            </w:r>
          </w:p>
        </w:tc>
        <w:tc>
          <w:tcPr>
            <w:tcW w:w="504" w:type="pct"/>
            <w:vAlign w:val="center"/>
          </w:tcPr>
          <w:p>
            <w:pPr>
              <w:spacing w:line="240" w:lineRule="exact"/>
              <w:ind w:firstLine="0" w:firstLineChars="0"/>
              <w:rPr>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368" w:type="pct"/>
            <w:vAlign w:val="center"/>
          </w:tcPr>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7</w:t>
            </w:r>
          </w:p>
        </w:tc>
        <w:tc>
          <w:tcPr>
            <w:tcW w:w="464" w:type="pct"/>
            <w:vAlign w:val="center"/>
          </w:tcPr>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污染</w:t>
            </w:r>
          </w:p>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减排</w:t>
            </w:r>
          </w:p>
        </w:tc>
        <w:tc>
          <w:tcPr>
            <w:tcW w:w="1037" w:type="pct"/>
            <w:vAlign w:val="center"/>
          </w:tcPr>
          <w:p>
            <w:pPr>
              <w:widowControl/>
              <w:spacing w:line="240" w:lineRule="exact"/>
              <w:ind w:firstLine="0" w:firstLineChars="0"/>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羊头峪西沟、全福河、大辛河</w:t>
            </w:r>
          </w:p>
        </w:tc>
        <w:tc>
          <w:tcPr>
            <w:tcW w:w="2135" w:type="pct"/>
            <w:vAlign w:val="center"/>
          </w:tcPr>
          <w:p>
            <w:pPr>
              <w:widowControl/>
              <w:spacing w:line="240" w:lineRule="exact"/>
              <w:ind w:firstLine="0" w:firstLineChars="0"/>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对棚盖河道进行检测，对检测中发现的挡墙破损、河底破损进行修复，消除安全隐患；对棚盖下生活污水排放口、渗漏点进行整治，杜绝污水直排河道。</w:t>
            </w:r>
          </w:p>
        </w:tc>
        <w:tc>
          <w:tcPr>
            <w:tcW w:w="492" w:type="pct"/>
            <w:vAlign w:val="center"/>
          </w:tcPr>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2025</w:t>
            </w:r>
          </w:p>
        </w:tc>
        <w:tc>
          <w:tcPr>
            <w:tcW w:w="504" w:type="pct"/>
            <w:vAlign w:val="center"/>
          </w:tcPr>
          <w:p>
            <w:pPr>
              <w:spacing w:line="240" w:lineRule="exact"/>
              <w:ind w:firstLine="0" w:firstLineChars="0"/>
              <w:rPr>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jc w:val="center"/>
        </w:trPr>
        <w:tc>
          <w:tcPr>
            <w:tcW w:w="368" w:type="pct"/>
            <w:vAlign w:val="center"/>
          </w:tcPr>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8</w:t>
            </w:r>
          </w:p>
        </w:tc>
        <w:tc>
          <w:tcPr>
            <w:tcW w:w="464" w:type="pct"/>
            <w:vAlign w:val="center"/>
          </w:tcPr>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污染</w:t>
            </w:r>
          </w:p>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减排</w:t>
            </w:r>
          </w:p>
        </w:tc>
        <w:tc>
          <w:tcPr>
            <w:tcW w:w="1037" w:type="pct"/>
            <w:vAlign w:val="center"/>
          </w:tcPr>
          <w:p>
            <w:pPr>
              <w:widowControl/>
              <w:spacing w:line="240" w:lineRule="exact"/>
              <w:ind w:firstLine="0" w:firstLineChars="0"/>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马家庄西沟、历山路边沟</w:t>
            </w:r>
          </w:p>
        </w:tc>
        <w:tc>
          <w:tcPr>
            <w:tcW w:w="2135" w:type="pct"/>
            <w:vAlign w:val="center"/>
          </w:tcPr>
          <w:p>
            <w:pPr>
              <w:widowControl/>
              <w:spacing w:line="240" w:lineRule="exact"/>
              <w:ind w:firstLine="0" w:firstLineChars="0"/>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对棚盖河道进行检测，对检测中发现的挡墙破损、河底破损进行修复，消除安全隐患；对棚盖下生活污水排放口、渗漏点进行整治，杜绝污水直排河道。</w:t>
            </w:r>
          </w:p>
        </w:tc>
        <w:tc>
          <w:tcPr>
            <w:tcW w:w="492" w:type="pct"/>
            <w:vAlign w:val="center"/>
          </w:tcPr>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2025</w:t>
            </w:r>
          </w:p>
        </w:tc>
        <w:tc>
          <w:tcPr>
            <w:tcW w:w="504" w:type="pct"/>
            <w:vAlign w:val="center"/>
          </w:tcPr>
          <w:p>
            <w:pPr>
              <w:spacing w:line="240" w:lineRule="exact"/>
              <w:ind w:firstLine="0" w:firstLineChars="0"/>
              <w:rPr>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jc w:val="center"/>
        </w:trPr>
        <w:tc>
          <w:tcPr>
            <w:tcW w:w="368" w:type="pct"/>
            <w:vAlign w:val="center"/>
          </w:tcPr>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9</w:t>
            </w:r>
          </w:p>
        </w:tc>
        <w:tc>
          <w:tcPr>
            <w:tcW w:w="464" w:type="pct"/>
            <w:vAlign w:val="center"/>
          </w:tcPr>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污染</w:t>
            </w:r>
          </w:p>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减排</w:t>
            </w:r>
          </w:p>
        </w:tc>
        <w:tc>
          <w:tcPr>
            <w:tcW w:w="1037" w:type="pct"/>
            <w:vAlign w:val="center"/>
          </w:tcPr>
          <w:p>
            <w:pPr>
              <w:widowControl/>
              <w:spacing w:line="240" w:lineRule="exact"/>
              <w:ind w:firstLine="0" w:firstLineChars="0"/>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张马河、西江沟新移交河道综合整治</w:t>
            </w:r>
          </w:p>
        </w:tc>
        <w:tc>
          <w:tcPr>
            <w:tcW w:w="2135" w:type="pct"/>
            <w:vAlign w:val="center"/>
          </w:tcPr>
          <w:p>
            <w:pPr>
              <w:widowControl/>
              <w:spacing w:line="240" w:lineRule="exact"/>
              <w:ind w:firstLine="0" w:firstLineChars="0"/>
              <w:rPr>
                <w:rFonts w:hAnsi="宋体" w:cs="宋体"/>
                <w:color w:val="0D0D0D" w:themeColor="text1" w:themeTint="F2"/>
                <w:kern w:val="0"/>
                <w:sz w:val="21"/>
                <w:szCs w:val="21"/>
                <w14:textFill>
                  <w14:solidFill>
                    <w14:schemeClr w14:val="tx1">
                      <w14:lumMod w14:val="95000"/>
                      <w14:lumOff w14:val="5000"/>
                    </w14:schemeClr>
                  </w14:solidFill>
                </w14:textFill>
              </w:rPr>
            </w:pPr>
            <w:bookmarkStart w:id="103" w:name="_Hlk122897029"/>
            <w:r>
              <w:rPr>
                <w:rFonts w:hint="eastAsia" w:hAnsi="宋体" w:cs="宋体"/>
                <w:color w:val="0D0D0D" w:themeColor="text1" w:themeTint="F2"/>
                <w:kern w:val="0"/>
                <w:sz w:val="21"/>
                <w:szCs w:val="21"/>
                <w14:textFill>
                  <w14:solidFill>
                    <w14:schemeClr w14:val="tx1">
                      <w14:lumMod w14:val="95000"/>
                      <w14:lumOff w14:val="5000"/>
                    </w14:schemeClr>
                  </w14:solidFill>
                </w14:textFill>
              </w:rPr>
              <w:t>对棚盖河道进行检测，对检测中发现的挡墙破损、河底破损进行修复，消除安全隐患；对棚盖下生活污水排放口、渗漏点进行整治，杜绝污水直排河道。</w:t>
            </w:r>
            <w:bookmarkEnd w:id="103"/>
          </w:p>
        </w:tc>
        <w:tc>
          <w:tcPr>
            <w:tcW w:w="492" w:type="pct"/>
            <w:vAlign w:val="center"/>
          </w:tcPr>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2025</w:t>
            </w:r>
          </w:p>
        </w:tc>
        <w:tc>
          <w:tcPr>
            <w:tcW w:w="504" w:type="pct"/>
            <w:vAlign w:val="center"/>
          </w:tcPr>
          <w:p>
            <w:pPr>
              <w:spacing w:line="240" w:lineRule="exact"/>
              <w:ind w:firstLine="0" w:firstLineChars="0"/>
              <w:rPr>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未完成</w:t>
            </w:r>
          </w:p>
        </w:tc>
      </w:tr>
      <w:bookmarkEnd w:id="10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368" w:type="pct"/>
            <w:vAlign w:val="center"/>
          </w:tcPr>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1</w:t>
            </w:r>
            <w:r>
              <w:rPr>
                <w:rFonts w:hAnsi="宋体" w:cs="宋体"/>
                <w:color w:val="0D0D0D" w:themeColor="text1" w:themeTint="F2"/>
                <w:kern w:val="0"/>
                <w:sz w:val="21"/>
                <w:szCs w:val="21"/>
                <w14:textFill>
                  <w14:solidFill>
                    <w14:schemeClr w14:val="tx1">
                      <w14:lumMod w14:val="95000"/>
                      <w14:lumOff w14:val="5000"/>
                    </w14:schemeClr>
                  </w14:solidFill>
                </w14:textFill>
              </w:rPr>
              <w:t>0</w:t>
            </w:r>
          </w:p>
        </w:tc>
        <w:tc>
          <w:tcPr>
            <w:tcW w:w="464" w:type="pct"/>
            <w:vAlign w:val="center"/>
          </w:tcPr>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污染</w:t>
            </w:r>
          </w:p>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减排</w:t>
            </w:r>
          </w:p>
        </w:tc>
        <w:tc>
          <w:tcPr>
            <w:tcW w:w="1037" w:type="pct"/>
            <w:vAlign w:val="center"/>
          </w:tcPr>
          <w:p>
            <w:pPr>
              <w:widowControl/>
              <w:spacing w:line="240" w:lineRule="exact"/>
              <w:ind w:firstLine="0" w:firstLineChars="0"/>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重点河道四化建设综合整治</w:t>
            </w:r>
          </w:p>
        </w:tc>
        <w:tc>
          <w:tcPr>
            <w:tcW w:w="2135" w:type="pct"/>
            <w:vAlign w:val="center"/>
          </w:tcPr>
          <w:p>
            <w:pPr>
              <w:widowControl/>
              <w:spacing w:line="240" w:lineRule="exact"/>
              <w:ind w:firstLine="0" w:firstLineChars="0"/>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对棚盖河道进行检测，对检测中发现的挡墙破损、河底破损进行修复，消除安全隐患；对棚盖下生活污水排放口、渗漏点进行整治，杜绝污水直排河道。</w:t>
            </w:r>
          </w:p>
        </w:tc>
        <w:tc>
          <w:tcPr>
            <w:tcW w:w="492" w:type="pct"/>
            <w:vAlign w:val="center"/>
          </w:tcPr>
          <w:p>
            <w:pPr>
              <w:widowControl/>
              <w:spacing w:line="240" w:lineRule="exact"/>
              <w:ind w:firstLine="0" w:firstLineChars="0"/>
              <w:jc w:val="center"/>
              <w:rPr>
                <w:rFonts w:hAnsi="宋体" w:cs="宋体"/>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2025</w:t>
            </w:r>
          </w:p>
        </w:tc>
        <w:tc>
          <w:tcPr>
            <w:tcW w:w="504" w:type="pct"/>
            <w:vAlign w:val="center"/>
          </w:tcPr>
          <w:p>
            <w:pPr>
              <w:spacing w:line="240" w:lineRule="exact"/>
              <w:ind w:firstLine="0" w:firstLineChars="0"/>
              <w:rPr>
                <w:color w:val="0D0D0D" w:themeColor="text1" w:themeTint="F2"/>
                <w:kern w:val="0"/>
                <w:sz w:val="21"/>
                <w:szCs w:val="21"/>
                <w14:textFill>
                  <w14:solidFill>
                    <w14:schemeClr w14:val="tx1">
                      <w14:lumMod w14:val="95000"/>
                      <w14:lumOff w14:val="5000"/>
                    </w14:schemeClr>
                  </w14:solidFill>
                </w14:textFill>
              </w:rPr>
            </w:pPr>
            <w:r>
              <w:rPr>
                <w:rFonts w:hint="eastAsia" w:hAnsi="宋体" w:cs="宋体"/>
                <w:color w:val="0D0D0D" w:themeColor="text1" w:themeTint="F2"/>
                <w:kern w:val="0"/>
                <w:sz w:val="21"/>
                <w:szCs w:val="21"/>
                <w14:textFill>
                  <w14:solidFill>
                    <w14:schemeClr w14:val="tx1">
                      <w14:lumMod w14:val="95000"/>
                      <w14:lumOff w14:val="5000"/>
                    </w14:schemeClr>
                  </w14:solidFill>
                </w14:textFill>
              </w:rPr>
              <w:t>未完成</w:t>
            </w:r>
          </w:p>
        </w:tc>
      </w:tr>
    </w:tbl>
    <w:p>
      <w:pPr>
        <w:ind w:firstLine="640"/>
        <w:rPr>
          <w:rFonts w:ascii="黑体" w:hAnsi="黑体" w:eastAsia="黑体"/>
        </w:rPr>
      </w:pPr>
      <w:bookmarkStart w:id="104" w:name="_Toc122990820"/>
      <w:r>
        <w:rPr>
          <w:rFonts w:hint="eastAsia" w:ascii="黑体" w:hAnsi="黑体" w:eastAsia="黑体"/>
        </w:rPr>
        <w:t>五、保障措施</w:t>
      </w:r>
      <w:bookmarkEnd w:id="104"/>
    </w:p>
    <w:p>
      <w:pPr>
        <w:ind w:firstLine="640"/>
        <w:rPr>
          <w:rFonts w:ascii="楷体_GB2312" w:eastAsia="楷体_GB2312"/>
        </w:rPr>
      </w:pPr>
      <w:bookmarkStart w:id="105" w:name="_Toc122898384"/>
      <w:bookmarkStart w:id="106" w:name="_Toc122990821"/>
      <w:r>
        <w:rPr>
          <w:rFonts w:hint="eastAsia" w:ascii="楷体_GB2312" w:eastAsia="楷体_GB2312"/>
        </w:rPr>
        <w:t>（一）加强组织领导</w:t>
      </w:r>
      <w:bookmarkEnd w:id="105"/>
      <w:bookmarkEnd w:id="106"/>
      <w:r>
        <w:rPr>
          <w:rFonts w:hint="eastAsia" w:ascii="楷体_GB2312" w:eastAsia="楷体_GB2312"/>
        </w:rPr>
        <w:t>。</w:t>
      </w:r>
      <w:r>
        <w:rPr>
          <w:rFonts w:hint="eastAsia"/>
        </w:rPr>
        <w:t>全面加强党对生态环境保护的领导，以习近平新时代中国特色社会主义思想为指导，切实加强组织领导，明确工作进展安排，确保各项要求落到实处。进一步细化实化河长与湖长职责，建立目标责任制。按照环境保护“党政同责、一岗双责”的要求，明确各级政府、部门责任，建立督查、考核、问责机制，形成分级管理、部门相互协调、上下联动、良性互动的推进机制。</w:t>
      </w:r>
    </w:p>
    <w:p>
      <w:pPr>
        <w:ind w:firstLine="640"/>
        <w:rPr>
          <w:rFonts w:ascii="楷体_GB2312" w:eastAsia="楷体_GB2312"/>
        </w:rPr>
      </w:pPr>
      <w:bookmarkStart w:id="107" w:name="_Toc122898385"/>
      <w:bookmarkStart w:id="108" w:name="_Toc122990822"/>
      <w:r>
        <w:rPr>
          <w:rFonts w:hint="eastAsia" w:ascii="楷体_GB2312" w:eastAsia="楷体_GB2312"/>
        </w:rPr>
        <w:t>（二）加大资金投入</w:t>
      </w:r>
      <w:bookmarkEnd w:id="107"/>
      <w:bookmarkEnd w:id="108"/>
      <w:r>
        <w:rPr>
          <w:rFonts w:hint="eastAsia" w:ascii="楷体_GB2312" w:eastAsia="楷体_GB2312"/>
        </w:rPr>
        <w:t>。</w:t>
      </w:r>
      <w:r>
        <w:rPr>
          <w:rFonts w:hint="eastAsia"/>
        </w:rPr>
        <w:t>坚持政府引导、市场为主、公众参与原则,建立政府、企业、社会多元化投入机制，鼓励不同经济成分和各类投资主体，以多种形式参与环境保护和基础设施建设。将环境保护和生态保护列为公共财政支出的重点，加强资金保障，重点投向现代化环境治理能力建设、环境污染治理工程建设等项目，确保规划各项重点工程顺利推进。</w:t>
      </w:r>
    </w:p>
    <w:p>
      <w:pPr>
        <w:ind w:firstLine="640"/>
        <w:rPr>
          <w:rFonts w:ascii="楷体_GB2312" w:eastAsia="楷体_GB2312"/>
        </w:rPr>
      </w:pPr>
      <w:bookmarkStart w:id="109" w:name="_Toc122990823"/>
      <w:bookmarkStart w:id="110" w:name="_Toc122898386"/>
      <w:r>
        <w:rPr>
          <w:rFonts w:hint="eastAsia" w:ascii="楷体_GB2312" w:eastAsia="楷体_GB2312"/>
        </w:rPr>
        <w:t>（三）加强监督管理</w:t>
      </w:r>
      <w:bookmarkEnd w:id="109"/>
      <w:r>
        <w:rPr>
          <w:rFonts w:hint="eastAsia" w:ascii="楷体_GB2312" w:eastAsia="楷体_GB2312"/>
        </w:rPr>
        <w:t>。</w:t>
      </w:r>
      <w:r>
        <w:rPr>
          <w:rFonts w:hint="eastAsia"/>
        </w:rPr>
        <w:t>各部门按照职责分工落实水生态环境保护监督管理责任，加强日常监管与执法，</w:t>
      </w:r>
      <w:r>
        <w:rPr>
          <w:rFonts w:hint="eastAsia" w:ascii="仿宋_GB2312"/>
        </w:rPr>
        <w:t>探索建立“河长+专家+部门+民间力量”监管体系，以“技防+物防+人防”</w:t>
      </w:r>
      <w:r>
        <w:rPr>
          <w:rFonts w:hint="eastAsia"/>
        </w:rPr>
        <w:t>全力提升水环境污染问题发现处置能力，依法查处各类违法行为，着力解决环境违法、生态破坏、环境风险隐患突出等问题。严格落实生态环境损害赔偿制度，督促企业主要负责人承担应尽的生态环境保护职责。</w:t>
      </w:r>
    </w:p>
    <w:p>
      <w:pPr>
        <w:ind w:firstLine="640"/>
        <w:rPr>
          <w:rFonts w:ascii="楷体_GB2312" w:eastAsia="楷体_GB2312"/>
        </w:rPr>
      </w:pPr>
      <w:bookmarkStart w:id="111" w:name="_Toc122990824"/>
      <w:r>
        <w:rPr>
          <w:rFonts w:hint="eastAsia" w:ascii="楷体_GB2312" w:eastAsia="楷体_GB2312"/>
        </w:rPr>
        <w:t>（四）强化宣传引导</w:t>
      </w:r>
      <w:bookmarkEnd w:id="110"/>
      <w:bookmarkEnd w:id="111"/>
      <w:r>
        <w:rPr>
          <w:rFonts w:hint="eastAsia" w:ascii="楷体_GB2312" w:eastAsia="楷体_GB2312"/>
        </w:rPr>
        <w:t>。</w:t>
      </w:r>
      <w:r>
        <w:rPr>
          <w:rFonts w:hint="eastAsia"/>
        </w:rPr>
        <w:t>广泛宣传生态文明理念，积极开展生态文明建设与生态环境保护规划政策、法规制度、进展成效、实践经验宣传与交流。发展壮大生态环境志愿服务力量，深入推动环保设施向公众开放，完善生态环境信息公开和有奖举报机制。</w:t>
      </w:r>
    </w:p>
    <w:p>
      <w:pPr>
        <w:ind w:firstLine="640"/>
        <w:rPr>
          <w:rFonts w:ascii="仿宋_GB2312" w:hAnsi="仿宋"/>
          <w:szCs w:val="32"/>
        </w:rPr>
      </w:pPr>
    </w:p>
    <w:p>
      <w:pPr>
        <w:ind w:firstLine="640"/>
        <w:rPr>
          <w:rFonts w:ascii="仿宋_GB2312" w:hAnsi="仿宋"/>
          <w:szCs w:val="32"/>
        </w:rPr>
      </w:pPr>
    </w:p>
    <w:p>
      <w:pPr>
        <w:ind w:firstLine="640"/>
        <w:rPr>
          <w:rFonts w:ascii="仿宋_GB2312" w:hAnsi="仿宋"/>
          <w:szCs w:val="32"/>
        </w:rPr>
      </w:pPr>
    </w:p>
    <w:p>
      <w:pPr>
        <w:ind w:firstLine="640"/>
        <w:rPr>
          <w:rFonts w:ascii="仿宋_GB2312" w:hAnsi="仿宋"/>
          <w:szCs w:val="32"/>
        </w:rPr>
      </w:pPr>
    </w:p>
    <w:p>
      <w:pPr>
        <w:ind w:firstLine="640"/>
        <w:rPr>
          <w:rFonts w:ascii="仿宋_GB2312" w:hAnsi="仿宋"/>
          <w:szCs w:val="32"/>
        </w:rPr>
      </w:pPr>
    </w:p>
    <w:p>
      <w:pPr>
        <w:spacing w:line="400" w:lineRule="exact"/>
        <w:ind w:firstLine="4960" w:firstLineChars="1550"/>
        <w:rPr>
          <w:rFonts w:ascii="仿宋_GB2312" w:hAnsi="仿宋"/>
          <w:szCs w:val="32"/>
        </w:rPr>
      </w:pPr>
    </w:p>
    <w:p>
      <w:pPr>
        <w:spacing w:line="400" w:lineRule="exact"/>
        <w:ind w:firstLine="4960" w:firstLineChars="1550"/>
        <w:rPr>
          <w:rFonts w:ascii="仿宋_GB2312" w:hAnsi="仿宋"/>
          <w:szCs w:val="32"/>
        </w:rPr>
      </w:pPr>
    </w:p>
    <w:p>
      <w:pPr>
        <w:spacing w:line="400" w:lineRule="exact"/>
        <w:ind w:firstLine="4960" w:firstLineChars="1550"/>
        <w:rPr>
          <w:rFonts w:ascii="仿宋_GB2312" w:hAnsi="仿宋"/>
          <w:szCs w:val="32"/>
        </w:rPr>
      </w:pPr>
    </w:p>
    <w:p>
      <w:pPr>
        <w:spacing w:line="400" w:lineRule="exact"/>
        <w:ind w:firstLine="4960" w:firstLineChars="1550"/>
        <w:rPr>
          <w:rFonts w:ascii="仿宋_GB2312" w:hAnsi="仿宋"/>
          <w:szCs w:val="32"/>
        </w:rPr>
      </w:pPr>
    </w:p>
    <w:p>
      <w:pPr>
        <w:spacing w:line="400" w:lineRule="exact"/>
        <w:ind w:firstLine="4960" w:firstLineChars="1550"/>
        <w:rPr>
          <w:rFonts w:ascii="仿宋_GB2312" w:hAnsi="仿宋"/>
          <w:szCs w:val="32"/>
        </w:rPr>
      </w:pPr>
    </w:p>
    <w:p>
      <w:pPr>
        <w:spacing w:line="400" w:lineRule="exact"/>
        <w:ind w:firstLine="4960" w:firstLineChars="1550"/>
        <w:rPr>
          <w:rFonts w:ascii="仿宋_GB2312" w:hAnsi="仿宋"/>
          <w:szCs w:val="32"/>
        </w:rPr>
      </w:pPr>
    </w:p>
    <w:p>
      <w:pPr>
        <w:spacing w:line="400" w:lineRule="exact"/>
        <w:ind w:firstLine="4960" w:firstLineChars="1550"/>
        <w:rPr>
          <w:rFonts w:ascii="仿宋_GB2312" w:hAnsi="仿宋"/>
          <w:szCs w:val="32"/>
        </w:rPr>
      </w:pPr>
    </w:p>
    <w:p>
      <w:pPr>
        <w:tabs>
          <w:tab w:val="left" w:pos="5940"/>
        </w:tabs>
        <w:spacing w:line="400" w:lineRule="exact"/>
        <w:ind w:firstLine="4960" w:firstLineChars="1550"/>
        <w:rPr>
          <w:rFonts w:ascii="仿宋_GB2312" w:hAnsi="仿宋"/>
          <w:szCs w:val="32"/>
        </w:rPr>
      </w:pPr>
      <w:r>
        <w:rPr>
          <w:rFonts w:ascii="仿宋_GB2312" w:hAnsi="仿宋"/>
          <w:szCs w:val="32"/>
        </w:rPr>
        <w:tab/>
      </w:r>
    </w:p>
    <w:p>
      <w:pPr>
        <w:spacing w:line="400" w:lineRule="exact"/>
        <w:ind w:firstLine="4960" w:firstLineChars="1550"/>
        <w:rPr>
          <w:rFonts w:ascii="仿宋_GB2312" w:hAnsi="仿宋"/>
          <w:szCs w:val="32"/>
        </w:rPr>
      </w:pPr>
    </w:p>
    <w:p>
      <w:pPr>
        <w:spacing w:line="400" w:lineRule="exact"/>
        <w:ind w:firstLine="4960" w:firstLineChars="1550"/>
        <w:rPr>
          <w:rFonts w:ascii="仿宋_GB2312" w:hAnsi="仿宋"/>
          <w:szCs w:val="32"/>
        </w:rPr>
      </w:pPr>
    </w:p>
    <w:p>
      <w:pPr>
        <w:spacing w:line="400" w:lineRule="exact"/>
        <w:ind w:firstLine="4960" w:firstLineChars="1550"/>
        <w:rPr>
          <w:rFonts w:ascii="仿宋_GB2312" w:hAnsi="仿宋"/>
          <w:szCs w:val="32"/>
        </w:rPr>
      </w:pPr>
    </w:p>
    <w:sectPr>
      <w:headerReference r:id="rId7" w:type="first"/>
      <w:footerReference r:id="rId10" w:type="first"/>
      <w:headerReference r:id="rId5" w:type="default"/>
      <w:footerReference r:id="rId8" w:type="default"/>
      <w:headerReference r:id="rId6" w:type="even"/>
      <w:footerReference r:id="rId9" w:type="even"/>
      <w:pgSz w:w="11906" w:h="16838"/>
      <w:pgMar w:top="2098" w:right="1588" w:bottom="2098" w:left="1588" w:header="851" w:footer="1644"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270" w:firstLine="560"/>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17 -</w:t>
    </w:r>
    <w:r>
      <w:rPr>
        <w:rFonts w:asciiTheme="minorEastAsia" w:hAnsiTheme="minorEastAsia"/>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81193825"/>
      <w:docPartObj>
        <w:docPartGallery w:val="AutoText"/>
      </w:docPartObj>
    </w:sdtPr>
    <w:sdtEndPr>
      <w:rPr>
        <w:rFonts w:asciiTheme="minorEastAsia" w:hAnsiTheme="minorEastAsia" w:eastAsiaTheme="minorEastAsia"/>
        <w:sz w:val="28"/>
        <w:szCs w:val="28"/>
      </w:rPr>
    </w:sdtEndPr>
    <w:sdtContent>
      <w:p>
        <w:pPr>
          <w:pStyle w:val="7"/>
          <w:ind w:firstLine="360"/>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PAGE   \* MERGEFORMAT</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18 -</w:t>
        </w:r>
        <w:r>
          <w:rPr>
            <w:rFonts w:asciiTheme="minorEastAsia" w:hAnsiTheme="minorEastAsia" w:eastAsiaTheme="minorEastAsia"/>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r>
      <w:tab/>
    </w:r>
    <w: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92C"/>
    <w:rsid w:val="00006B00"/>
    <w:rsid w:val="0001049D"/>
    <w:rsid w:val="00011ECA"/>
    <w:rsid w:val="00012932"/>
    <w:rsid w:val="00023D01"/>
    <w:rsid w:val="0003341A"/>
    <w:rsid w:val="000538BA"/>
    <w:rsid w:val="00055C95"/>
    <w:rsid w:val="00062D1F"/>
    <w:rsid w:val="00075778"/>
    <w:rsid w:val="00080C22"/>
    <w:rsid w:val="00084B17"/>
    <w:rsid w:val="00087410"/>
    <w:rsid w:val="00091711"/>
    <w:rsid w:val="000A4466"/>
    <w:rsid w:val="000C2524"/>
    <w:rsid w:val="000C2F47"/>
    <w:rsid w:val="000C4098"/>
    <w:rsid w:val="000C4765"/>
    <w:rsid w:val="000E279E"/>
    <w:rsid w:val="000F2231"/>
    <w:rsid w:val="000F79CF"/>
    <w:rsid w:val="0012081F"/>
    <w:rsid w:val="001257DF"/>
    <w:rsid w:val="00127F4E"/>
    <w:rsid w:val="0013192C"/>
    <w:rsid w:val="00151423"/>
    <w:rsid w:val="00167037"/>
    <w:rsid w:val="00170512"/>
    <w:rsid w:val="00170566"/>
    <w:rsid w:val="001760EF"/>
    <w:rsid w:val="001764CE"/>
    <w:rsid w:val="00197658"/>
    <w:rsid w:val="001A0BBD"/>
    <w:rsid w:val="001A32AE"/>
    <w:rsid w:val="001A5655"/>
    <w:rsid w:val="001A5658"/>
    <w:rsid w:val="001A59F2"/>
    <w:rsid w:val="001C250C"/>
    <w:rsid w:val="001C3F63"/>
    <w:rsid w:val="001D1DD2"/>
    <w:rsid w:val="001D1F3A"/>
    <w:rsid w:val="001E1421"/>
    <w:rsid w:val="001E3A91"/>
    <w:rsid w:val="001F034F"/>
    <w:rsid w:val="001F0927"/>
    <w:rsid w:val="002015EA"/>
    <w:rsid w:val="0021323C"/>
    <w:rsid w:val="00213314"/>
    <w:rsid w:val="002175BA"/>
    <w:rsid w:val="00220D81"/>
    <w:rsid w:val="0022406E"/>
    <w:rsid w:val="00231B01"/>
    <w:rsid w:val="0023312B"/>
    <w:rsid w:val="0024557C"/>
    <w:rsid w:val="00252278"/>
    <w:rsid w:val="002531B0"/>
    <w:rsid w:val="00255D1C"/>
    <w:rsid w:val="002574AF"/>
    <w:rsid w:val="00257F01"/>
    <w:rsid w:val="00263829"/>
    <w:rsid w:val="00286E69"/>
    <w:rsid w:val="00293B6D"/>
    <w:rsid w:val="00295486"/>
    <w:rsid w:val="002A64C0"/>
    <w:rsid w:val="002B7ACC"/>
    <w:rsid w:val="002C423F"/>
    <w:rsid w:val="002D0497"/>
    <w:rsid w:val="002E52E2"/>
    <w:rsid w:val="002F24C3"/>
    <w:rsid w:val="00300157"/>
    <w:rsid w:val="00303C06"/>
    <w:rsid w:val="00314A8E"/>
    <w:rsid w:val="00321C11"/>
    <w:rsid w:val="003318FD"/>
    <w:rsid w:val="00334D86"/>
    <w:rsid w:val="00340122"/>
    <w:rsid w:val="00344262"/>
    <w:rsid w:val="00354147"/>
    <w:rsid w:val="00357128"/>
    <w:rsid w:val="00357C7C"/>
    <w:rsid w:val="00360B99"/>
    <w:rsid w:val="00371DEE"/>
    <w:rsid w:val="00371E85"/>
    <w:rsid w:val="00376318"/>
    <w:rsid w:val="003815DB"/>
    <w:rsid w:val="00386048"/>
    <w:rsid w:val="00386BE5"/>
    <w:rsid w:val="003A5E9A"/>
    <w:rsid w:val="003B331B"/>
    <w:rsid w:val="003C5995"/>
    <w:rsid w:val="003C7253"/>
    <w:rsid w:val="003D1A7C"/>
    <w:rsid w:val="003F5EC4"/>
    <w:rsid w:val="004003B8"/>
    <w:rsid w:val="00400C2C"/>
    <w:rsid w:val="00403144"/>
    <w:rsid w:val="00403B9C"/>
    <w:rsid w:val="00407BC5"/>
    <w:rsid w:val="00414035"/>
    <w:rsid w:val="00415DC5"/>
    <w:rsid w:val="00424E92"/>
    <w:rsid w:val="0043127D"/>
    <w:rsid w:val="00433F55"/>
    <w:rsid w:val="004378D6"/>
    <w:rsid w:val="0044074E"/>
    <w:rsid w:val="00441328"/>
    <w:rsid w:val="004420C7"/>
    <w:rsid w:val="004445AD"/>
    <w:rsid w:val="00444F2D"/>
    <w:rsid w:val="004507E6"/>
    <w:rsid w:val="004637BA"/>
    <w:rsid w:val="00464D83"/>
    <w:rsid w:val="00465224"/>
    <w:rsid w:val="00467DB1"/>
    <w:rsid w:val="00473A4C"/>
    <w:rsid w:val="00482C2D"/>
    <w:rsid w:val="00483EBC"/>
    <w:rsid w:val="0049206A"/>
    <w:rsid w:val="0049653E"/>
    <w:rsid w:val="004A13D9"/>
    <w:rsid w:val="004B0006"/>
    <w:rsid w:val="004B1285"/>
    <w:rsid w:val="004C02D8"/>
    <w:rsid w:val="004C1736"/>
    <w:rsid w:val="004C1D3B"/>
    <w:rsid w:val="004C22C4"/>
    <w:rsid w:val="004C394A"/>
    <w:rsid w:val="004C40A6"/>
    <w:rsid w:val="004C6B69"/>
    <w:rsid w:val="004F5719"/>
    <w:rsid w:val="004F6043"/>
    <w:rsid w:val="005037B8"/>
    <w:rsid w:val="00506C7F"/>
    <w:rsid w:val="005140A6"/>
    <w:rsid w:val="005200D6"/>
    <w:rsid w:val="00530C0D"/>
    <w:rsid w:val="00535CDB"/>
    <w:rsid w:val="00536AC3"/>
    <w:rsid w:val="00542CC1"/>
    <w:rsid w:val="005548F7"/>
    <w:rsid w:val="00554953"/>
    <w:rsid w:val="00566510"/>
    <w:rsid w:val="005839C8"/>
    <w:rsid w:val="005854B5"/>
    <w:rsid w:val="00593EEA"/>
    <w:rsid w:val="00593F71"/>
    <w:rsid w:val="005B2758"/>
    <w:rsid w:val="005B7061"/>
    <w:rsid w:val="005C061B"/>
    <w:rsid w:val="005C3C62"/>
    <w:rsid w:val="005C690A"/>
    <w:rsid w:val="005D0824"/>
    <w:rsid w:val="005E671F"/>
    <w:rsid w:val="005E753C"/>
    <w:rsid w:val="005F2175"/>
    <w:rsid w:val="00606843"/>
    <w:rsid w:val="006123A4"/>
    <w:rsid w:val="00616E6A"/>
    <w:rsid w:val="00617445"/>
    <w:rsid w:val="00621F39"/>
    <w:rsid w:val="006345DD"/>
    <w:rsid w:val="00635C97"/>
    <w:rsid w:val="00645165"/>
    <w:rsid w:val="00646894"/>
    <w:rsid w:val="00664304"/>
    <w:rsid w:val="006677CC"/>
    <w:rsid w:val="00670EFF"/>
    <w:rsid w:val="00682CF5"/>
    <w:rsid w:val="0069210A"/>
    <w:rsid w:val="00696E78"/>
    <w:rsid w:val="00696EA8"/>
    <w:rsid w:val="006A3DF2"/>
    <w:rsid w:val="006B36D1"/>
    <w:rsid w:val="006C008F"/>
    <w:rsid w:val="006C1163"/>
    <w:rsid w:val="006C402D"/>
    <w:rsid w:val="006D0D4F"/>
    <w:rsid w:val="006D48CD"/>
    <w:rsid w:val="006F0312"/>
    <w:rsid w:val="006F0A96"/>
    <w:rsid w:val="006F42A1"/>
    <w:rsid w:val="0071008A"/>
    <w:rsid w:val="007125BD"/>
    <w:rsid w:val="00721534"/>
    <w:rsid w:val="00724121"/>
    <w:rsid w:val="00731189"/>
    <w:rsid w:val="00742243"/>
    <w:rsid w:val="00784A56"/>
    <w:rsid w:val="007855F5"/>
    <w:rsid w:val="00786870"/>
    <w:rsid w:val="007918C6"/>
    <w:rsid w:val="00792829"/>
    <w:rsid w:val="007A0339"/>
    <w:rsid w:val="007B0E20"/>
    <w:rsid w:val="007B2A3C"/>
    <w:rsid w:val="007C6ED1"/>
    <w:rsid w:val="007E38EE"/>
    <w:rsid w:val="007F0B43"/>
    <w:rsid w:val="007F1263"/>
    <w:rsid w:val="008035D3"/>
    <w:rsid w:val="00803C17"/>
    <w:rsid w:val="008110E0"/>
    <w:rsid w:val="00825917"/>
    <w:rsid w:val="00826691"/>
    <w:rsid w:val="00841AA0"/>
    <w:rsid w:val="0084492B"/>
    <w:rsid w:val="008547A2"/>
    <w:rsid w:val="008836A4"/>
    <w:rsid w:val="00885047"/>
    <w:rsid w:val="00897376"/>
    <w:rsid w:val="008A1D1C"/>
    <w:rsid w:val="008A48C8"/>
    <w:rsid w:val="008A5131"/>
    <w:rsid w:val="008B21F7"/>
    <w:rsid w:val="008B7962"/>
    <w:rsid w:val="008C5938"/>
    <w:rsid w:val="008D4528"/>
    <w:rsid w:val="008F2196"/>
    <w:rsid w:val="008F6A19"/>
    <w:rsid w:val="00906033"/>
    <w:rsid w:val="00914DAC"/>
    <w:rsid w:val="00920F87"/>
    <w:rsid w:val="00932170"/>
    <w:rsid w:val="00935467"/>
    <w:rsid w:val="00935ED4"/>
    <w:rsid w:val="00937F80"/>
    <w:rsid w:val="00940329"/>
    <w:rsid w:val="00941C86"/>
    <w:rsid w:val="00943B9F"/>
    <w:rsid w:val="009567FF"/>
    <w:rsid w:val="009600C4"/>
    <w:rsid w:val="00961D80"/>
    <w:rsid w:val="00963504"/>
    <w:rsid w:val="0096797C"/>
    <w:rsid w:val="00967D62"/>
    <w:rsid w:val="009806E9"/>
    <w:rsid w:val="009854C8"/>
    <w:rsid w:val="00985832"/>
    <w:rsid w:val="009A1EC8"/>
    <w:rsid w:val="009A21E1"/>
    <w:rsid w:val="009A4CF9"/>
    <w:rsid w:val="009A60F0"/>
    <w:rsid w:val="009A62F5"/>
    <w:rsid w:val="009A64E2"/>
    <w:rsid w:val="009B1735"/>
    <w:rsid w:val="009B7B98"/>
    <w:rsid w:val="009C56D8"/>
    <w:rsid w:val="009C5966"/>
    <w:rsid w:val="009E1E8C"/>
    <w:rsid w:val="009E4B62"/>
    <w:rsid w:val="009F680A"/>
    <w:rsid w:val="00A07B27"/>
    <w:rsid w:val="00A17624"/>
    <w:rsid w:val="00A474A4"/>
    <w:rsid w:val="00A62208"/>
    <w:rsid w:val="00A65CC5"/>
    <w:rsid w:val="00A71BBF"/>
    <w:rsid w:val="00A769B3"/>
    <w:rsid w:val="00A919A0"/>
    <w:rsid w:val="00A92D44"/>
    <w:rsid w:val="00A933A9"/>
    <w:rsid w:val="00AA3663"/>
    <w:rsid w:val="00AB07D5"/>
    <w:rsid w:val="00AC1A41"/>
    <w:rsid w:val="00AD20EF"/>
    <w:rsid w:val="00AE5B94"/>
    <w:rsid w:val="00AE6799"/>
    <w:rsid w:val="00AF5CB1"/>
    <w:rsid w:val="00B1153C"/>
    <w:rsid w:val="00B16901"/>
    <w:rsid w:val="00B24953"/>
    <w:rsid w:val="00B30A8B"/>
    <w:rsid w:val="00B331FD"/>
    <w:rsid w:val="00B401D3"/>
    <w:rsid w:val="00B43837"/>
    <w:rsid w:val="00B5380B"/>
    <w:rsid w:val="00B53DA0"/>
    <w:rsid w:val="00B72617"/>
    <w:rsid w:val="00BA2810"/>
    <w:rsid w:val="00BB2674"/>
    <w:rsid w:val="00BD4A51"/>
    <w:rsid w:val="00BE03B1"/>
    <w:rsid w:val="00BF07D4"/>
    <w:rsid w:val="00C07D70"/>
    <w:rsid w:val="00C14B09"/>
    <w:rsid w:val="00C176C4"/>
    <w:rsid w:val="00C35C5B"/>
    <w:rsid w:val="00C44AA9"/>
    <w:rsid w:val="00C469AD"/>
    <w:rsid w:val="00C57E23"/>
    <w:rsid w:val="00C63E11"/>
    <w:rsid w:val="00C6483A"/>
    <w:rsid w:val="00C65524"/>
    <w:rsid w:val="00C65682"/>
    <w:rsid w:val="00C66265"/>
    <w:rsid w:val="00C730D0"/>
    <w:rsid w:val="00C73296"/>
    <w:rsid w:val="00C76581"/>
    <w:rsid w:val="00C817D7"/>
    <w:rsid w:val="00C87181"/>
    <w:rsid w:val="00CC214B"/>
    <w:rsid w:val="00CC2408"/>
    <w:rsid w:val="00CC4B6C"/>
    <w:rsid w:val="00CE7DAE"/>
    <w:rsid w:val="00CF16F7"/>
    <w:rsid w:val="00CF281D"/>
    <w:rsid w:val="00CF37AF"/>
    <w:rsid w:val="00CF5C01"/>
    <w:rsid w:val="00CF7556"/>
    <w:rsid w:val="00D023A0"/>
    <w:rsid w:val="00D05BC6"/>
    <w:rsid w:val="00D16D89"/>
    <w:rsid w:val="00D26A43"/>
    <w:rsid w:val="00D3741E"/>
    <w:rsid w:val="00D408BF"/>
    <w:rsid w:val="00D43F0C"/>
    <w:rsid w:val="00D5105F"/>
    <w:rsid w:val="00D5404E"/>
    <w:rsid w:val="00D54322"/>
    <w:rsid w:val="00D55363"/>
    <w:rsid w:val="00D57B7F"/>
    <w:rsid w:val="00D60B44"/>
    <w:rsid w:val="00D60DE9"/>
    <w:rsid w:val="00D7028F"/>
    <w:rsid w:val="00D708A6"/>
    <w:rsid w:val="00D72845"/>
    <w:rsid w:val="00D80FB9"/>
    <w:rsid w:val="00D83F89"/>
    <w:rsid w:val="00D84407"/>
    <w:rsid w:val="00D911CD"/>
    <w:rsid w:val="00D97FA7"/>
    <w:rsid w:val="00DA4F2C"/>
    <w:rsid w:val="00DA5BB9"/>
    <w:rsid w:val="00DC53CE"/>
    <w:rsid w:val="00DD0B59"/>
    <w:rsid w:val="00DD6A06"/>
    <w:rsid w:val="00DE3718"/>
    <w:rsid w:val="00DF3F8D"/>
    <w:rsid w:val="00E22DA9"/>
    <w:rsid w:val="00E22DCB"/>
    <w:rsid w:val="00E3298E"/>
    <w:rsid w:val="00E343A5"/>
    <w:rsid w:val="00E42A44"/>
    <w:rsid w:val="00E45926"/>
    <w:rsid w:val="00E566DC"/>
    <w:rsid w:val="00E575C6"/>
    <w:rsid w:val="00E57EAD"/>
    <w:rsid w:val="00E63A43"/>
    <w:rsid w:val="00E644BB"/>
    <w:rsid w:val="00E714ED"/>
    <w:rsid w:val="00E72244"/>
    <w:rsid w:val="00E8714A"/>
    <w:rsid w:val="00E90428"/>
    <w:rsid w:val="00E90F66"/>
    <w:rsid w:val="00EA4517"/>
    <w:rsid w:val="00EA4C1D"/>
    <w:rsid w:val="00EC05DC"/>
    <w:rsid w:val="00EC13D3"/>
    <w:rsid w:val="00EC658F"/>
    <w:rsid w:val="00ED4D49"/>
    <w:rsid w:val="00EE2D02"/>
    <w:rsid w:val="00EE4C0F"/>
    <w:rsid w:val="00F15221"/>
    <w:rsid w:val="00F170B1"/>
    <w:rsid w:val="00F17A38"/>
    <w:rsid w:val="00F20D23"/>
    <w:rsid w:val="00F228B6"/>
    <w:rsid w:val="00F22F74"/>
    <w:rsid w:val="00F365D7"/>
    <w:rsid w:val="00F44225"/>
    <w:rsid w:val="00F54BF0"/>
    <w:rsid w:val="00F5712D"/>
    <w:rsid w:val="00F664D4"/>
    <w:rsid w:val="00F67E64"/>
    <w:rsid w:val="00F74D46"/>
    <w:rsid w:val="00FA38A9"/>
    <w:rsid w:val="00FB42BC"/>
    <w:rsid w:val="00FB47FC"/>
    <w:rsid w:val="00FB5139"/>
    <w:rsid w:val="00FB63ED"/>
    <w:rsid w:val="00FC52C0"/>
    <w:rsid w:val="00FC71BC"/>
    <w:rsid w:val="00FD5398"/>
    <w:rsid w:val="00FD5BA4"/>
    <w:rsid w:val="00FE2247"/>
    <w:rsid w:val="00FE3D59"/>
    <w:rsid w:val="00FE433B"/>
    <w:rsid w:val="5F802B2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eastAsia="仿宋_GB2312" w:asciiTheme="minorHAnsi" w:hAnsiTheme="minorHAnsi" w:cstheme="minorBidi"/>
      <w:kern w:val="2"/>
      <w:sz w:val="32"/>
      <w:szCs w:val="22"/>
      <w:lang w:val="en-US" w:eastAsia="zh-CN" w:bidi="ar-SA"/>
    </w:rPr>
  </w:style>
  <w:style w:type="paragraph" w:styleId="2">
    <w:name w:val="heading 1"/>
    <w:basedOn w:val="1"/>
    <w:next w:val="1"/>
    <w:link w:val="17"/>
    <w:qFormat/>
    <w:uiPriority w:val="9"/>
    <w:pPr>
      <w:keepNext/>
      <w:keepLines/>
      <w:spacing w:line="600" w:lineRule="exact"/>
      <w:outlineLvl w:val="0"/>
    </w:pPr>
    <w:rPr>
      <w:rFonts w:ascii="黑体" w:hAnsi="黑体" w:eastAsia="黑体"/>
      <w:bCs/>
      <w:kern w:val="44"/>
      <w:szCs w:val="44"/>
    </w:rPr>
  </w:style>
  <w:style w:type="paragraph" w:styleId="3">
    <w:name w:val="heading 2"/>
    <w:basedOn w:val="1"/>
    <w:next w:val="1"/>
    <w:link w:val="18"/>
    <w:unhideWhenUsed/>
    <w:qFormat/>
    <w:uiPriority w:val="9"/>
    <w:pPr>
      <w:keepNext/>
      <w:keepLines/>
      <w:spacing w:line="600" w:lineRule="exact"/>
      <w:jc w:val="left"/>
      <w:outlineLvl w:val="1"/>
    </w:pPr>
    <w:rPr>
      <w:rFonts w:ascii="楷体_GB2312" w:hAnsi="Times New Roman" w:eastAsia="楷体_GB2312" w:cstheme="majorBidi"/>
      <w:bCs/>
      <w:szCs w:val="32"/>
    </w:rPr>
  </w:style>
  <w:style w:type="paragraph" w:styleId="4">
    <w:name w:val="heading 3"/>
    <w:basedOn w:val="1"/>
    <w:next w:val="1"/>
    <w:link w:val="19"/>
    <w:unhideWhenUsed/>
    <w:qFormat/>
    <w:uiPriority w:val="9"/>
    <w:pPr>
      <w:keepNext/>
      <w:keepLines/>
      <w:spacing w:line="600" w:lineRule="exact"/>
      <w:jc w:val="left"/>
      <w:outlineLvl w:val="2"/>
    </w:pPr>
    <w:rPr>
      <w:rFonts w:ascii="仿宋_GB2312" w:hAnsi="Times New Roman"/>
      <w:bCs/>
      <w:szCs w:val="32"/>
    </w:rPr>
  </w:style>
  <w:style w:type="character" w:default="1" w:styleId="12">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Date"/>
    <w:basedOn w:val="1"/>
    <w:next w:val="1"/>
    <w:link w:val="15"/>
    <w:semiHidden/>
    <w:unhideWhenUsed/>
    <w:qFormat/>
    <w:uiPriority w:val="99"/>
    <w:pPr>
      <w:ind w:left="100" w:leftChars="2500"/>
    </w:pPr>
  </w:style>
  <w:style w:type="paragraph" w:styleId="6">
    <w:name w:val="Balloon Text"/>
    <w:basedOn w:val="1"/>
    <w:link w:val="16"/>
    <w:semiHidden/>
    <w:unhideWhenUsed/>
    <w:qFormat/>
    <w:uiPriority w:val="99"/>
    <w:rPr>
      <w:sz w:val="18"/>
      <w:szCs w:val="18"/>
    </w:rPr>
  </w:style>
  <w:style w:type="paragraph" w:styleId="7">
    <w:name w:val="footer"/>
    <w:basedOn w:val="1"/>
    <w:link w:val="14"/>
    <w:unhideWhenUsed/>
    <w:qFormat/>
    <w:uiPriority w:val="99"/>
    <w:pPr>
      <w:tabs>
        <w:tab w:val="center" w:pos="4153"/>
        <w:tab w:val="right" w:pos="8306"/>
      </w:tabs>
      <w:snapToGrid w:val="0"/>
      <w:jc w:val="left"/>
    </w:pPr>
    <w:rPr>
      <w:sz w:val="18"/>
      <w:szCs w:val="18"/>
    </w:rPr>
  </w:style>
  <w:style w:type="paragraph" w:styleId="8">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rPr>
      <w:rFonts w:ascii="Times New Roman" w:hAnsi="Times New Roman" w:eastAsia="宋体" w:cs="Times New Roman"/>
      <w:kern w:val="0"/>
      <w:sz w:val="24"/>
    </w:rPr>
  </w:style>
  <w:style w:type="table" w:styleId="11">
    <w:name w:val="Table Grid"/>
    <w:basedOn w:val="10"/>
    <w:qFormat/>
    <w:uiPriority w:val="3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3">
    <w:name w:val="页眉 Char"/>
    <w:basedOn w:val="12"/>
    <w:link w:val="8"/>
    <w:qFormat/>
    <w:uiPriority w:val="99"/>
    <w:rPr>
      <w:sz w:val="18"/>
      <w:szCs w:val="18"/>
    </w:rPr>
  </w:style>
  <w:style w:type="character" w:customStyle="1" w:styleId="14">
    <w:name w:val="页脚 Char"/>
    <w:basedOn w:val="12"/>
    <w:link w:val="7"/>
    <w:qFormat/>
    <w:uiPriority w:val="99"/>
    <w:rPr>
      <w:sz w:val="18"/>
      <w:szCs w:val="18"/>
    </w:rPr>
  </w:style>
  <w:style w:type="character" w:customStyle="1" w:styleId="15">
    <w:name w:val="日期 Char"/>
    <w:basedOn w:val="12"/>
    <w:link w:val="5"/>
    <w:semiHidden/>
    <w:qFormat/>
    <w:uiPriority w:val="99"/>
  </w:style>
  <w:style w:type="character" w:customStyle="1" w:styleId="16">
    <w:name w:val="批注框文本 Char"/>
    <w:basedOn w:val="12"/>
    <w:link w:val="6"/>
    <w:semiHidden/>
    <w:qFormat/>
    <w:uiPriority w:val="99"/>
    <w:rPr>
      <w:sz w:val="18"/>
      <w:szCs w:val="18"/>
    </w:rPr>
  </w:style>
  <w:style w:type="character" w:customStyle="1" w:styleId="17">
    <w:name w:val="标题 1 Char"/>
    <w:basedOn w:val="12"/>
    <w:link w:val="2"/>
    <w:qFormat/>
    <w:uiPriority w:val="9"/>
    <w:rPr>
      <w:rFonts w:ascii="黑体" w:hAnsi="黑体" w:eastAsia="黑体"/>
      <w:bCs/>
      <w:kern w:val="44"/>
      <w:sz w:val="32"/>
      <w:szCs w:val="44"/>
    </w:rPr>
  </w:style>
  <w:style w:type="character" w:customStyle="1" w:styleId="18">
    <w:name w:val="标题 2 Char"/>
    <w:basedOn w:val="12"/>
    <w:link w:val="3"/>
    <w:qFormat/>
    <w:uiPriority w:val="9"/>
    <w:rPr>
      <w:rFonts w:ascii="楷体_GB2312" w:hAnsi="Times New Roman" w:eastAsia="楷体_GB2312" w:cstheme="majorBidi"/>
      <w:bCs/>
      <w:sz w:val="32"/>
      <w:szCs w:val="32"/>
    </w:rPr>
  </w:style>
  <w:style w:type="character" w:customStyle="1" w:styleId="19">
    <w:name w:val="标题 3 Char"/>
    <w:basedOn w:val="12"/>
    <w:link w:val="4"/>
    <w:qFormat/>
    <w:uiPriority w:val="9"/>
    <w:rPr>
      <w:rFonts w:ascii="仿宋_GB2312" w:hAnsi="Times New Roman" w:eastAsia="仿宋_GB2312"/>
      <w:bCs/>
      <w:sz w:val="32"/>
      <w:szCs w:val="32"/>
    </w:rPr>
  </w:style>
  <w:style w:type="table" w:customStyle="1" w:styleId="20">
    <w:name w:val="网格型1"/>
    <w:basedOn w:val="10"/>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9DBC03-9529-4EA8-959F-FCC035A768CB}">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18</Pages>
  <Words>8633</Words>
  <Characters>8840</Characters>
  <Lines>65</Lines>
  <Paragraphs>18</Paragraphs>
  <TotalTime>49</TotalTime>
  <ScaleCrop>false</ScaleCrop>
  <LinksUpToDate>false</LinksUpToDate>
  <CharactersWithSpaces>8863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2022-01-26T02:44:00Z</dcterms:created>
  <dc:creator>ume</dc:creator>
  <cp:lastModifiedBy>WPS_1604918664</cp:lastModifiedBy>
  <cp:lastPrinted>2023-01-29T07:22:00Z</cp:lastPrinted>
  <dcterms:modified xsi:type="dcterms:W3CDTF">2023-07-05T01:32:22Z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6E2ADC056F3944BBB18B148E33FF7A82_13</vt:lpwstr>
  </property>
</Properties>
</file>